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C0" w:rsidRPr="00E325A4" w:rsidRDefault="00DB4F93" w:rsidP="00A837E3">
      <w:pPr>
        <w:jc w:val="center"/>
        <w:rPr>
          <w:w w:val="100"/>
          <w:szCs w:val="22"/>
          <w:lang w:val="de-DE"/>
        </w:rPr>
      </w:pPr>
      <w:r w:rsidRPr="00E325A4">
        <w:rPr>
          <w:w w:val="100"/>
          <w:szCs w:val="22"/>
          <w:lang w:val="de-DE"/>
        </w:rPr>
        <w:t xml:space="preserve">Förderungsaktion </w:t>
      </w:r>
      <w:r w:rsidR="000973D4" w:rsidRPr="00E325A4">
        <w:rPr>
          <w:w w:val="100"/>
          <w:szCs w:val="22"/>
          <w:lang w:val="de-DE"/>
        </w:rPr>
        <w:t>Start!Klar plus</w:t>
      </w:r>
    </w:p>
    <w:p w:rsidR="000973D4" w:rsidRPr="00E325A4" w:rsidRDefault="000973D4" w:rsidP="000973D4">
      <w:pPr>
        <w:jc w:val="center"/>
        <w:rPr>
          <w:w w:val="100"/>
          <w:szCs w:val="22"/>
          <w:lang w:val="de-DE"/>
        </w:rPr>
      </w:pPr>
    </w:p>
    <w:p w:rsidR="0099698A" w:rsidRPr="00E325A4" w:rsidRDefault="00DB4F93" w:rsidP="000973D4">
      <w:pPr>
        <w:jc w:val="center"/>
        <w:rPr>
          <w:b/>
          <w:w w:val="100"/>
          <w:szCs w:val="22"/>
          <w:lang w:val="de-DE"/>
        </w:rPr>
      </w:pPr>
      <w:r w:rsidRPr="00E325A4">
        <w:rPr>
          <w:b/>
          <w:w w:val="100"/>
          <w:szCs w:val="22"/>
          <w:lang w:val="de-DE"/>
        </w:rPr>
        <w:t xml:space="preserve">TERM SHEET </w:t>
      </w:r>
      <w:r w:rsidR="00F64DD3" w:rsidRPr="00E325A4">
        <w:rPr>
          <w:b/>
          <w:w w:val="100"/>
          <w:szCs w:val="22"/>
          <w:lang w:val="de-DE"/>
        </w:rPr>
        <w:t xml:space="preserve">FÜR DIE ERSTE </w:t>
      </w:r>
      <w:r w:rsidRPr="00E325A4">
        <w:rPr>
          <w:b/>
          <w:w w:val="100"/>
          <w:szCs w:val="22"/>
          <w:lang w:val="de-DE"/>
        </w:rPr>
        <w:t>FINANZIERUNGSRUNDE</w:t>
      </w:r>
    </w:p>
    <w:p w:rsidR="0099698A" w:rsidRPr="00E325A4" w:rsidRDefault="0099698A" w:rsidP="004D1F62">
      <w:pPr>
        <w:rPr>
          <w:w w:val="100"/>
          <w:szCs w:val="22"/>
          <w:lang w:val="de-DE"/>
        </w:rPr>
      </w:pPr>
    </w:p>
    <w:p w:rsidR="0099698A" w:rsidRPr="00E325A4" w:rsidRDefault="0099698A" w:rsidP="000973D4">
      <w:pPr>
        <w:jc w:val="center"/>
        <w:rPr>
          <w:w w:val="100"/>
          <w:szCs w:val="22"/>
        </w:rPr>
      </w:pPr>
    </w:p>
    <w:p w:rsidR="0099698A" w:rsidRPr="00E325A4" w:rsidRDefault="00DB4F93" w:rsidP="00F64DD3">
      <w:pPr>
        <w:jc w:val="center"/>
        <w:rPr>
          <w:w w:val="100"/>
          <w:szCs w:val="22"/>
        </w:rPr>
      </w:pPr>
      <w:r w:rsidRPr="00E325A4">
        <w:rPr>
          <w:w w:val="100"/>
          <w:szCs w:val="22"/>
        </w:rPr>
        <w:t xml:space="preserve">Bitte beachten Sie, dass die Checkliste keinen Anspruch auf Vollständigkeit für alle in Betracht kommenden Finanzierungsfälle und -konditionen einer GmbH erhebt. Es kann nur </w:t>
      </w:r>
      <w:r w:rsidRPr="00E325A4">
        <w:rPr>
          <w:w w:val="100"/>
          <w:szCs w:val="22"/>
        </w:rPr>
        <w:t>eine erste Hilfestellung bieten, die wesentlichen Regelungen im Zuge der Verhandlung eines Beteiligungsvertrages zu erfassen und einzuordnen. Die konkrete anwaltliche Beratung kann die C</w:t>
      </w:r>
      <w:r w:rsidR="00F64DD3" w:rsidRPr="00E325A4">
        <w:rPr>
          <w:w w:val="100"/>
          <w:szCs w:val="22"/>
        </w:rPr>
        <w:t>heckliste keinesfalls ersetzen.</w:t>
      </w:r>
      <w:r w:rsidRPr="00E325A4">
        <w:rPr>
          <w:w w:val="100"/>
          <w:szCs w:val="22"/>
          <w:lang w:val="de-DE"/>
        </w:rPr>
        <w:br w:type="page"/>
      </w:r>
    </w:p>
    <w:p w:rsidR="0099698A" w:rsidRPr="00E325A4" w:rsidRDefault="0099698A" w:rsidP="0099698A">
      <w:pPr>
        <w:spacing w:line="240" w:lineRule="auto"/>
        <w:jc w:val="left"/>
        <w:rPr>
          <w:w w:val="100"/>
          <w:szCs w:val="22"/>
          <w:lang w:val="de-DE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500"/>
        <w:gridCol w:w="5112"/>
        <w:gridCol w:w="5984"/>
      </w:tblGrid>
      <w:tr w:rsidR="005703B2" w:rsidTr="00E325A4">
        <w:trPr>
          <w:cantSplit/>
        </w:trPr>
        <w:tc>
          <w:tcPr>
            <w:tcW w:w="3500" w:type="dxa"/>
          </w:tcPr>
          <w:p w:rsidR="00AF77D2" w:rsidRPr="00E325A4" w:rsidRDefault="00DB4F93" w:rsidP="000973D4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>Unternehmen</w:t>
            </w:r>
          </w:p>
        </w:tc>
        <w:tc>
          <w:tcPr>
            <w:tcW w:w="5112" w:type="dxa"/>
          </w:tcPr>
          <w:p w:rsidR="005C2201" w:rsidRPr="00E325A4" w:rsidRDefault="005C2201" w:rsidP="00BD16D8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99698A" w:rsidRPr="00E325A4" w:rsidRDefault="00DB4F93" w:rsidP="0099698A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Firmenwortlaut laut Firmenbuch, Firmenbuchnummer, Sitzadresse laut Firmenbuch, Gründungsdatum laut Firmenbuch</w:t>
            </w:r>
            <w:r w:rsidR="005C2201" w:rsidRPr="00E325A4">
              <w:rPr>
                <w:w w:val="100"/>
                <w:szCs w:val="22"/>
              </w:rPr>
              <w:t>.</w:t>
            </w:r>
          </w:p>
          <w:p w:rsidR="0099698A" w:rsidRPr="00E325A4" w:rsidRDefault="0099698A" w:rsidP="0099698A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F77D2" w:rsidRPr="00E325A4" w:rsidRDefault="00DB4F93" w:rsidP="000973D4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>Gründer</w:t>
            </w:r>
          </w:p>
        </w:tc>
        <w:tc>
          <w:tcPr>
            <w:tcW w:w="5112" w:type="dxa"/>
          </w:tcPr>
          <w:p w:rsidR="003A2888" w:rsidRPr="00E325A4" w:rsidRDefault="003A2888" w:rsidP="00176A39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AF77D2" w:rsidRPr="00E325A4" w:rsidRDefault="00DB4F93" w:rsidP="00AF77D2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Vor- und Nachname, Geburt</w:t>
            </w:r>
            <w:r w:rsidR="005C2201" w:rsidRPr="00E325A4">
              <w:rPr>
                <w:w w:val="100"/>
                <w:szCs w:val="22"/>
              </w:rPr>
              <w:t>sdatum, Funktion im Unternehmen.</w:t>
            </w:r>
          </w:p>
          <w:p w:rsidR="0099698A" w:rsidRPr="00E325A4" w:rsidRDefault="0099698A" w:rsidP="00AF77D2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F77D2" w:rsidRPr="00E325A4" w:rsidRDefault="00DB4F93" w:rsidP="000973D4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>Investoren</w:t>
            </w:r>
          </w:p>
        </w:tc>
        <w:tc>
          <w:tcPr>
            <w:tcW w:w="5112" w:type="dxa"/>
          </w:tcPr>
          <w:p w:rsidR="00AF77D2" w:rsidRPr="00E325A4" w:rsidRDefault="00AF77D2" w:rsidP="00176A39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AF77D2" w:rsidRPr="00E325A4" w:rsidRDefault="00DB4F93" w:rsidP="003A2888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Vor- und Nachname des Investors und des </w:t>
            </w:r>
            <w:r w:rsidRPr="00E325A4">
              <w:rPr>
                <w:w w:val="100"/>
                <w:szCs w:val="22"/>
              </w:rPr>
              <w:t>Ansprechpartners, ggf. Firmenwortlaut laut Firmenbuch, Firmenbuchnummer, Sitzadresse laut Firmenbuch</w:t>
            </w:r>
            <w:r w:rsidR="005C2201" w:rsidRPr="00E325A4">
              <w:rPr>
                <w:w w:val="100"/>
                <w:szCs w:val="22"/>
              </w:rPr>
              <w:t>.</w:t>
            </w: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F77D2" w:rsidRPr="00E325A4" w:rsidRDefault="00DB4F93" w:rsidP="000973D4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>Investment</w:t>
            </w:r>
          </w:p>
        </w:tc>
        <w:tc>
          <w:tcPr>
            <w:tcW w:w="5112" w:type="dxa"/>
          </w:tcPr>
          <w:p w:rsidR="005C2201" w:rsidRDefault="005C2201" w:rsidP="00755D37">
            <w:pPr>
              <w:jc w:val="left"/>
              <w:rPr>
                <w:w w:val="100"/>
                <w:szCs w:val="22"/>
              </w:rPr>
            </w:pPr>
          </w:p>
          <w:p w:rsidR="00DB4F93" w:rsidRDefault="00DB4F93" w:rsidP="00755D37">
            <w:pPr>
              <w:jc w:val="left"/>
              <w:rPr>
                <w:w w:val="100"/>
                <w:szCs w:val="22"/>
              </w:rPr>
            </w:pPr>
          </w:p>
          <w:p w:rsidR="00DB4F93" w:rsidRPr="00E325A4" w:rsidRDefault="00DB4F93" w:rsidP="00755D37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AF77D2" w:rsidRPr="00E325A4" w:rsidRDefault="00DB4F93" w:rsidP="00755D37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Der von allen Investoren aufzubringende Gesamtbetrag. </w:t>
            </w: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FA60D0" w:rsidRPr="00E325A4" w:rsidRDefault="00DB4F93" w:rsidP="00755D37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>Art der Beteiligung</w:t>
            </w:r>
          </w:p>
        </w:tc>
        <w:tc>
          <w:tcPr>
            <w:tcW w:w="5112" w:type="dxa"/>
          </w:tcPr>
          <w:p w:rsidR="005C2201" w:rsidRPr="00E325A4" w:rsidRDefault="005C2201" w:rsidP="006E5F71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755D37" w:rsidRPr="00E325A4" w:rsidRDefault="00DB4F93" w:rsidP="005B22F5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Hinweis: </w:t>
            </w:r>
            <w:r w:rsidR="006E5F71" w:rsidRPr="00E325A4">
              <w:rPr>
                <w:w w:val="100"/>
                <w:szCs w:val="22"/>
              </w:rPr>
              <w:t>Im Zuge der Förderungsaktion Start!Klar plus k</w:t>
            </w:r>
            <w:r w:rsidRPr="00E325A4">
              <w:rPr>
                <w:w w:val="100"/>
                <w:szCs w:val="22"/>
              </w:rPr>
              <w:t>önnen nur Unternehmen gefördert werden, die beabsichtigen Investoren durch ein Cash Investmen</w:t>
            </w:r>
            <w:r w:rsidRPr="00E325A4">
              <w:rPr>
                <w:w w:val="100"/>
                <w:szCs w:val="22"/>
              </w:rPr>
              <w:t xml:space="preserve">t zu beteiligen. </w:t>
            </w:r>
          </w:p>
          <w:p w:rsidR="00A54C88" w:rsidRPr="00E325A4" w:rsidRDefault="00DB4F93" w:rsidP="005B22F5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 </w:t>
            </w:r>
          </w:p>
          <w:p w:rsidR="00FA60D0" w:rsidRPr="00E325A4" w:rsidRDefault="00FA60D0" w:rsidP="006E5F71">
            <w:pPr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F77D2" w:rsidRPr="00E325A4" w:rsidRDefault="00DB4F93" w:rsidP="00A54C88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 xml:space="preserve">Pre-Money </w:t>
            </w:r>
            <w:r w:rsidR="00A54C88" w:rsidRPr="00E325A4">
              <w:rPr>
                <w:b/>
                <w:w w:val="100"/>
                <w:szCs w:val="22"/>
                <w:lang w:val="de-DE"/>
              </w:rPr>
              <w:t>Bewertung</w:t>
            </w:r>
          </w:p>
        </w:tc>
        <w:tc>
          <w:tcPr>
            <w:tcW w:w="5112" w:type="dxa"/>
          </w:tcPr>
          <w:p w:rsidR="00AF77D2" w:rsidRPr="00E325A4" w:rsidRDefault="00AF77D2" w:rsidP="003250D9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385C22" w:rsidRPr="00E325A4" w:rsidRDefault="00DB4F93" w:rsidP="00D42D2F">
            <w:pPr>
              <w:jc w:val="left"/>
              <w:rPr>
                <w:w w:val="100"/>
                <w:szCs w:val="22"/>
                <w:highlight w:val="yellow"/>
              </w:rPr>
            </w:pPr>
            <w:r w:rsidRPr="00E325A4">
              <w:rPr>
                <w:w w:val="100"/>
                <w:szCs w:val="22"/>
              </w:rPr>
              <w:t xml:space="preserve">Die Pre-Money Bewertung ist der </w:t>
            </w:r>
            <w:r w:rsidR="00A54C88" w:rsidRPr="00E325A4">
              <w:rPr>
                <w:w w:val="100"/>
                <w:szCs w:val="22"/>
              </w:rPr>
              <w:t xml:space="preserve">Wert des Unternehmens vor der aktuellen Finanzierungsrunde. </w:t>
            </w:r>
            <w:r w:rsidR="00D42D2F" w:rsidRPr="00E325A4">
              <w:rPr>
                <w:w w:val="100"/>
                <w:szCs w:val="22"/>
              </w:rPr>
              <w:t xml:space="preserve">Es soll eine </w:t>
            </w:r>
            <w:r w:rsidR="00A54C88" w:rsidRPr="00E325A4">
              <w:rPr>
                <w:w w:val="100"/>
                <w:szCs w:val="22"/>
              </w:rPr>
              <w:t>Bewertung nach allge</w:t>
            </w:r>
            <w:r w:rsidR="00D42D2F" w:rsidRPr="00E325A4">
              <w:rPr>
                <w:w w:val="100"/>
                <w:szCs w:val="22"/>
              </w:rPr>
              <w:t>meinen Bewertungskriterien und -</w:t>
            </w:r>
            <w:r w:rsidR="00A54C88" w:rsidRPr="00E325A4">
              <w:rPr>
                <w:w w:val="100"/>
                <w:szCs w:val="22"/>
              </w:rPr>
              <w:t xml:space="preserve">verfahren </w:t>
            </w:r>
            <w:r w:rsidR="004D1F62" w:rsidRPr="00E325A4">
              <w:rPr>
                <w:w w:val="100"/>
                <w:szCs w:val="22"/>
              </w:rPr>
              <w:t>(</w:t>
            </w:r>
            <w:r w:rsidR="004E6D95" w:rsidRPr="00E325A4">
              <w:rPr>
                <w:w w:val="100"/>
                <w:szCs w:val="22"/>
              </w:rPr>
              <w:t xml:space="preserve">z.B. </w:t>
            </w:r>
            <w:r w:rsidR="004D1F62" w:rsidRPr="00E325A4">
              <w:rPr>
                <w:w w:val="100"/>
                <w:szCs w:val="22"/>
              </w:rPr>
              <w:t>Multiples-Verfahren, Venture Capital-Methode</w:t>
            </w:r>
            <w:r w:rsidR="004E6D95" w:rsidRPr="00E325A4">
              <w:rPr>
                <w:w w:val="100"/>
                <w:szCs w:val="22"/>
              </w:rPr>
              <w:t xml:space="preserve">) </w:t>
            </w:r>
            <w:r w:rsidR="00A54C88" w:rsidRPr="00E325A4">
              <w:rPr>
                <w:w w:val="100"/>
                <w:szCs w:val="22"/>
              </w:rPr>
              <w:t>erfolgen</w:t>
            </w:r>
            <w:r w:rsidR="00D42D2F" w:rsidRPr="00E325A4">
              <w:rPr>
                <w:w w:val="100"/>
                <w:szCs w:val="22"/>
              </w:rPr>
              <w:t xml:space="preserve">. </w:t>
            </w:r>
          </w:p>
          <w:p w:rsidR="00D42D2F" w:rsidRPr="00E325A4" w:rsidRDefault="00D42D2F" w:rsidP="00D42D2F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5C2201" w:rsidRPr="00E325A4" w:rsidRDefault="00DB4F93" w:rsidP="005C2201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lastRenderedPageBreak/>
              <w:t>Verteilung der Anteile</w:t>
            </w:r>
          </w:p>
          <w:p w:rsidR="00AF77D2" w:rsidRPr="00E325A4" w:rsidRDefault="00DB4F93" w:rsidP="005C2201">
            <w:pPr>
              <w:jc w:val="left"/>
              <w:rPr>
                <w:b/>
                <w:w w:val="100"/>
                <w:szCs w:val="22"/>
                <w:lang w:val="de-DE"/>
              </w:rPr>
            </w:pPr>
            <w:r w:rsidRPr="00E325A4">
              <w:rPr>
                <w:b/>
                <w:w w:val="100"/>
                <w:szCs w:val="22"/>
                <w:lang w:val="de-DE"/>
              </w:rPr>
              <w:t>(</w:t>
            </w:r>
            <w:r w:rsidR="001553B2" w:rsidRPr="00E325A4">
              <w:rPr>
                <w:b/>
                <w:w w:val="100"/>
                <w:szCs w:val="22"/>
                <w:lang w:val="de-DE"/>
              </w:rPr>
              <w:t>Cap Table</w:t>
            </w:r>
            <w:r w:rsidRPr="00E325A4">
              <w:rPr>
                <w:b/>
                <w:w w:val="100"/>
                <w:szCs w:val="22"/>
                <w:lang w:val="de-DE"/>
              </w:rPr>
              <w:t>)</w:t>
            </w:r>
          </w:p>
        </w:tc>
        <w:tc>
          <w:tcPr>
            <w:tcW w:w="5112" w:type="dxa"/>
          </w:tcPr>
          <w:p w:rsidR="00D42D2F" w:rsidRPr="00E325A4" w:rsidRDefault="00D42D2F" w:rsidP="00D42D2F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D42D2F" w:rsidRPr="00E325A4" w:rsidRDefault="00DB4F93" w:rsidP="00402027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Aus dem Cap Table ergibt sich die Kapitalverteilung vor und na</w:t>
            </w:r>
            <w:r w:rsidRPr="00E325A4">
              <w:rPr>
                <w:w w:val="100"/>
                <w:szCs w:val="22"/>
              </w:rPr>
              <w:t xml:space="preserve">ch Abschluss der Finanzierungsrunde. </w:t>
            </w:r>
            <w:r w:rsidR="00402027" w:rsidRPr="00E325A4">
              <w:rPr>
                <w:w w:val="100"/>
                <w:szCs w:val="22"/>
              </w:rPr>
              <w:t xml:space="preserve">Mithilfe der Excel-Datei können vor und während der Verhandlungsgespräche verschiedene Konstellationen berechnet werden. </w:t>
            </w:r>
          </w:p>
          <w:p w:rsidR="005C2201" w:rsidRPr="00E325A4" w:rsidRDefault="005C2201" w:rsidP="00402027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DD0390" w:rsidRPr="00E325A4" w:rsidRDefault="00DB4F93" w:rsidP="005C5778">
            <w:pPr>
              <w:jc w:val="left"/>
              <w:rPr>
                <w:b/>
                <w:w w:val="100"/>
                <w:szCs w:val="22"/>
                <w:lang w:val="en-GB"/>
              </w:rPr>
            </w:pPr>
            <w:r w:rsidRPr="00E325A4">
              <w:rPr>
                <w:b/>
                <w:w w:val="100"/>
                <w:szCs w:val="22"/>
              </w:rPr>
              <w:t>Erlösvorzug (</w:t>
            </w:r>
            <w:r w:rsidR="005C5778" w:rsidRPr="00E325A4">
              <w:rPr>
                <w:b/>
                <w:w w:val="100"/>
                <w:szCs w:val="22"/>
              </w:rPr>
              <w:t>Liquidationspräferenz</w:t>
            </w:r>
            <w:r w:rsidR="00884FD2" w:rsidRPr="00E325A4">
              <w:rPr>
                <w:b/>
                <w:w w:val="100"/>
                <w:szCs w:val="22"/>
              </w:rPr>
              <w:t>)</w:t>
            </w:r>
          </w:p>
        </w:tc>
        <w:tc>
          <w:tcPr>
            <w:tcW w:w="5112" w:type="dxa"/>
          </w:tcPr>
          <w:p w:rsidR="00150655" w:rsidRPr="00E325A4" w:rsidRDefault="00150655" w:rsidP="00150655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150655" w:rsidRPr="00E325A4" w:rsidRDefault="00DB4F93" w:rsidP="002603D1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Im Rahmen der Liquidationspräferenz wird festgelegt</w:t>
            </w:r>
            <w:r w:rsidR="00F93F24" w:rsidRPr="00E325A4">
              <w:rPr>
                <w:w w:val="100"/>
                <w:szCs w:val="22"/>
              </w:rPr>
              <w:t xml:space="preserve">, welche Investoren/Gesellschafter </w:t>
            </w:r>
            <w:r w:rsidRPr="00E325A4">
              <w:rPr>
                <w:w w:val="100"/>
                <w:szCs w:val="22"/>
              </w:rPr>
              <w:t>im Falle einer</w:t>
            </w:r>
            <w:r w:rsidR="00F93F24" w:rsidRPr="00E325A4">
              <w:rPr>
                <w:w w:val="100"/>
                <w:szCs w:val="22"/>
              </w:rPr>
              <w:t xml:space="preserve"> </w:t>
            </w:r>
            <w:r w:rsidRPr="00E325A4">
              <w:rPr>
                <w:w w:val="100"/>
                <w:szCs w:val="22"/>
              </w:rPr>
              <w:t>Auflösung</w:t>
            </w:r>
            <w:r w:rsidR="00F93F24" w:rsidRPr="00E325A4">
              <w:rPr>
                <w:w w:val="100"/>
                <w:szCs w:val="22"/>
              </w:rPr>
              <w:t xml:space="preserve"> des Unternehmens hinsichtlich des Liquidationserlöses bevorzugt behandelt werden</w:t>
            </w:r>
            <w:r w:rsidRPr="00E325A4">
              <w:rPr>
                <w:w w:val="100"/>
                <w:szCs w:val="22"/>
              </w:rPr>
              <w:t xml:space="preserve">, bevor die </w:t>
            </w:r>
            <w:r w:rsidR="00BA753D" w:rsidRPr="00E325A4">
              <w:rPr>
                <w:w w:val="100"/>
                <w:szCs w:val="22"/>
              </w:rPr>
              <w:t>Unternehmensgründer und weitere nachrangig gestellte</w:t>
            </w:r>
            <w:r w:rsidRPr="00E325A4">
              <w:rPr>
                <w:w w:val="100"/>
                <w:szCs w:val="22"/>
              </w:rPr>
              <w:t xml:space="preserve"> Gesellschafter bedient werden</w:t>
            </w:r>
            <w:r w:rsidR="00F93F24" w:rsidRPr="00E325A4">
              <w:rPr>
                <w:w w:val="100"/>
                <w:szCs w:val="22"/>
              </w:rPr>
              <w:t>.</w:t>
            </w:r>
          </w:p>
          <w:p w:rsidR="00150655" w:rsidRPr="00E325A4" w:rsidRDefault="00150655" w:rsidP="002603D1">
            <w:pPr>
              <w:jc w:val="left"/>
              <w:rPr>
                <w:w w:val="100"/>
                <w:szCs w:val="22"/>
              </w:rPr>
            </w:pPr>
          </w:p>
          <w:p w:rsidR="002603D1" w:rsidRPr="00E325A4" w:rsidRDefault="00DB4F93" w:rsidP="00255FE6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Die Verteilung des Liquidationserlöses erfolgt </w:t>
            </w:r>
            <w:r w:rsidR="00A31DDA" w:rsidRPr="00E325A4">
              <w:rPr>
                <w:w w:val="100"/>
                <w:szCs w:val="22"/>
              </w:rPr>
              <w:t xml:space="preserve">in Erlösstufen. </w:t>
            </w:r>
            <w:r w:rsidR="00BA753D" w:rsidRPr="00E325A4">
              <w:rPr>
                <w:w w:val="100"/>
                <w:szCs w:val="22"/>
              </w:rPr>
              <w:t xml:space="preserve">Die </w:t>
            </w:r>
            <w:r w:rsidR="00A31DDA" w:rsidRPr="00E325A4">
              <w:rPr>
                <w:w w:val="100"/>
                <w:szCs w:val="22"/>
              </w:rPr>
              <w:t>Investoren befinden sich meist in der ersten Erlösstufe und erhalten vorrangig eine bestimmte Erlössumme. Nur wenn er Liquidationserlös ausreicht, erhalten auch die weiteren Gesellschafter</w:t>
            </w:r>
            <w:r w:rsidR="00BA753D" w:rsidRPr="00E325A4">
              <w:rPr>
                <w:w w:val="100"/>
                <w:szCs w:val="22"/>
              </w:rPr>
              <w:t xml:space="preserve"> in der zweiten Erlösstufe entsprechend ihrer Beteiligungsquote am Unternehmen</w:t>
            </w:r>
            <w:r w:rsidR="00A31DDA" w:rsidRPr="00E325A4">
              <w:rPr>
                <w:w w:val="100"/>
                <w:szCs w:val="22"/>
              </w:rPr>
              <w:t xml:space="preserve"> einen Anteil des Liquidationserlöses. </w:t>
            </w:r>
          </w:p>
          <w:p w:rsidR="005932C3" w:rsidRPr="00E325A4" w:rsidRDefault="005932C3" w:rsidP="00255FE6">
            <w:pPr>
              <w:jc w:val="left"/>
              <w:rPr>
                <w:w w:val="100"/>
                <w:szCs w:val="22"/>
              </w:rPr>
            </w:pPr>
          </w:p>
          <w:p w:rsidR="00255FE6" w:rsidRDefault="00DB4F93" w:rsidP="00E92492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Sollten sonstige schuldrechtliche Erlösbeteiligungen </w:t>
            </w:r>
            <w:r w:rsidRPr="00E325A4">
              <w:rPr>
                <w:w w:val="100"/>
                <w:szCs w:val="22"/>
              </w:rPr>
              <w:t xml:space="preserve">bestehen, sind diese auch im Rahmen der </w:t>
            </w:r>
            <w:r w:rsidRPr="005E1A4C">
              <w:rPr>
                <w:w w:val="100"/>
                <w:szCs w:val="22"/>
              </w:rPr>
              <w:t>Liquidationspräferenz festzuhalten.</w:t>
            </w:r>
          </w:p>
          <w:p w:rsidR="005E1A4C" w:rsidRPr="00E325A4" w:rsidRDefault="005E1A4C" w:rsidP="00E92492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5C2201" w:rsidRPr="00E325A4" w:rsidRDefault="00DB4F93" w:rsidP="000973D4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</w:rPr>
              <w:lastRenderedPageBreak/>
              <w:t>Bezugsrechte</w:t>
            </w:r>
          </w:p>
          <w:p w:rsidR="00255FE6" w:rsidRPr="00E325A4" w:rsidRDefault="00DB4F93" w:rsidP="000973D4">
            <w:pPr>
              <w:jc w:val="left"/>
              <w:rPr>
                <w:b/>
                <w:w w:val="100"/>
                <w:szCs w:val="22"/>
                <w:highlight w:val="yellow"/>
              </w:rPr>
            </w:pPr>
            <w:r w:rsidRPr="00E325A4">
              <w:rPr>
                <w:b/>
                <w:w w:val="100"/>
                <w:szCs w:val="22"/>
              </w:rPr>
              <w:t>(Pre-emption Rights)</w:t>
            </w:r>
          </w:p>
        </w:tc>
        <w:tc>
          <w:tcPr>
            <w:tcW w:w="5112" w:type="dxa"/>
          </w:tcPr>
          <w:p w:rsidR="005C2201" w:rsidRPr="00E325A4" w:rsidRDefault="005C2201" w:rsidP="00F23978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693AC2" w:rsidRPr="00E325A4" w:rsidRDefault="00DB4F93" w:rsidP="0000484B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Das Vorkaufsrecht ermöglicht den anderen Gesellschaftern den vom Vorkaufsfall betroffenen</w:t>
            </w:r>
            <w:r w:rsidRPr="00E325A4">
              <w:rPr>
                <w:w w:val="100"/>
                <w:szCs w:val="22"/>
              </w:rPr>
              <w:t xml:space="preserve"> Gesellschafter die Abtretung von Gesellschafteranteile gegen Zahlung eines bestimmten Abtretungspreises zu verlangen. </w:t>
            </w:r>
          </w:p>
          <w:p w:rsidR="00693AC2" w:rsidRPr="00E325A4" w:rsidRDefault="00693AC2" w:rsidP="0000484B">
            <w:pPr>
              <w:jc w:val="left"/>
              <w:rPr>
                <w:w w:val="100"/>
                <w:szCs w:val="22"/>
              </w:rPr>
            </w:pPr>
          </w:p>
          <w:p w:rsidR="0000484B" w:rsidRPr="00E325A4" w:rsidRDefault="00DB4F93" w:rsidP="00693AC2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Der Abtretungspreis entspricht grundsätzlich dem Verkehrswert des Geschäftsanteils.</w:t>
            </w: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54C88" w:rsidRPr="00E325A4" w:rsidRDefault="00DB4F93" w:rsidP="00A54C88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</w:rPr>
              <w:t xml:space="preserve">Mitverkaufsrecht </w:t>
            </w:r>
          </w:p>
          <w:p w:rsidR="00393296" w:rsidRPr="00E325A4" w:rsidRDefault="00DB4F93" w:rsidP="00A54C88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</w:rPr>
              <w:t>(Tag Along</w:t>
            </w:r>
            <w:r w:rsidR="005C2201" w:rsidRPr="00E325A4">
              <w:rPr>
                <w:b/>
                <w:w w:val="100"/>
                <w:szCs w:val="22"/>
              </w:rPr>
              <w:t>)</w:t>
            </w:r>
          </w:p>
        </w:tc>
        <w:tc>
          <w:tcPr>
            <w:tcW w:w="5112" w:type="dxa"/>
          </w:tcPr>
          <w:p w:rsidR="005C2201" w:rsidRPr="00E325A4" w:rsidRDefault="005C2201" w:rsidP="00393296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402027" w:rsidRPr="00E325A4" w:rsidRDefault="00DB4F93" w:rsidP="00393296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Das Mitverkaufsrecht sichert den Gesellschaftern das Recht, die eige</w:t>
            </w:r>
            <w:r w:rsidRPr="00E325A4">
              <w:rPr>
                <w:w w:val="100"/>
                <w:szCs w:val="22"/>
              </w:rPr>
              <w:t xml:space="preserve">nen Anteile mitzuverkaufen, wenn ein anderer Gesellschafter seine Anteile ganz oder teilweise an einen Dritten verkauft. </w:t>
            </w:r>
          </w:p>
          <w:p w:rsidR="00A54C88" w:rsidRPr="00E325A4" w:rsidRDefault="00A54C88" w:rsidP="00393296">
            <w:pPr>
              <w:jc w:val="left"/>
              <w:rPr>
                <w:w w:val="100"/>
                <w:szCs w:val="22"/>
              </w:rPr>
            </w:pPr>
          </w:p>
          <w:p w:rsidR="00393296" w:rsidRPr="00E325A4" w:rsidRDefault="00393296" w:rsidP="00393296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5C2201" w:rsidRPr="00E325A4" w:rsidRDefault="00DB4F93" w:rsidP="00A54C88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</w:rPr>
              <w:t>Mitverkaufspflicht</w:t>
            </w:r>
          </w:p>
          <w:p w:rsidR="00393296" w:rsidRPr="00E325A4" w:rsidRDefault="00DB4F93" w:rsidP="00A54C88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</w:rPr>
              <w:t>(Drag A</w:t>
            </w:r>
            <w:r w:rsidR="005C2201" w:rsidRPr="00E325A4">
              <w:rPr>
                <w:b/>
                <w:w w:val="100"/>
                <w:szCs w:val="22"/>
              </w:rPr>
              <w:t>long)</w:t>
            </w:r>
          </w:p>
        </w:tc>
        <w:tc>
          <w:tcPr>
            <w:tcW w:w="5112" w:type="dxa"/>
          </w:tcPr>
          <w:p w:rsidR="005C2201" w:rsidRPr="00E325A4" w:rsidRDefault="005C2201" w:rsidP="006F4779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393296" w:rsidRPr="00E325A4" w:rsidRDefault="00DB4F93" w:rsidP="006F4779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Die Mitverkaufspflicht sieht vor, dass alle Gesellschafter unter bestimmten vorab festgelegten Umständen ve</w:t>
            </w:r>
            <w:r w:rsidRPr="00E325A4">
              <w:rPr>
                <w:w w:val="100"/>
                <w:szCs w:val="22"/>
              </w:rPr>
              <w:t>rpflichtet sind, ihre Unternehmensanteile zu denselben Konditionen zu veräußern,</w:t>
            </w:r>
            <w:r w:rsidR="00DD2F58" w:rsidRPr="00E325A4">
              <w:rPr>
                <w:w w:val="100"/>
                <w:szCs w:val="22"/>
              </w:rPr>
              <w:t xml:space="preserve"> wenn einer der anderen Gesellschafter seine Anteile verkaufen möchte. Die Pflicht zum Mitverkauf von Unternehmensanteilen sollte nicht einem </w:t>
            </w:r>
            <w:r w:rsidR="00445142" w:rsidRPr="00E325A4">
              <w:rPr>
                <w:w w:val="100"/>
                <w:szCs w:val="22"/>
              </w:rPr>
              <w:t>einzigen</w:t>
            </w:r>
            <w:r w:rsidR="00DD2F58" w:rsidRPr="00E325A4">
              <w:rPr>
                <w:w w:val="100"/>
                <w:szCs w:val="22"/>
              </w:rPr>
              <w:t xml:space="preserve"> Investor, der eine Minderheitsbeteiligung besitzt, eingeräumt werden. Die Ausübung der Mitverkaufspflicht sollte nur dann möglich sein, wenn ein vorab definierter Unternehmenswert besteht.</w:t>
            </w: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C5446" w:rsidRPr="00E325A4" w:rsidRDefault="00DB4F93" w:rsidP="00393296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  <w:lang w:val="en-GB"/>
              </w:rPr>
              <w:t>Founder Lock-Up</w:t>
            </w:r>
          </w:p>
        </w:tc>
        <w:tc>
          <w:tcPr>
            <w:tcW w:w="5112" w:type="dxa"/>
          </w:tcPr>
          <w:p w:rsidR="00AC5446" w:rsidRPr="00E325A4" w:rsidRDefault="00AC5446" w:rsidP="00BD16D8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6B06CF" w:rsidRPr="00E325A4" w:rsidRDefault="00DB4F93" w:rsidP="00393296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Den Unternehmensgründern ist es nicht gestattet, ihre Unternehmensanteile bis zu einem bestimmten Datum an Dritte zu veräuß</w:t>
            </w:r>
            <w:r w:rsidRPr="00E325A4">
              <w:rPr>
                <w:w w:val="100"/>
                <w:szCs w:val="22"/>
              </w:rPr>
              <w:t>ern.</w:t>
            </w:r>
          </w:p>
          <w:p w:rsidR="006B06CF" w:rsidRPr="00E325A4" w:rsidRDefault="006B06CF" w:rsidP="00393296">
            <w:pPr>
              <w:jc w:val="left"/>
              <w:rPr>
                <w:w w:val="100"/>
                <w:szCs w:val="22"/>
              </w:rPr>
            </w:pPr>
          </w:p>
          <w:p w:rsidR="006B06CF" w:rsidRPr="00E325A4" w:rsidRDefault="006B06CF" w:rsidP="00393296">
            <w:pPr>
              <w:jc w:val="left"/>
              <w:rPr>
                <w:w w:val="100"/>
                <w:szCs w:val="22"/>
              </w:rPr>
            </w:pPr>
          </w:p>
          <w:p w:rsidR="00AC5446" w:rsidRPr="00E325A4" w:rsidRDefault="00AC5446" w:rsidP="00393296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AC5446" w:rsidRPr="00E325A4" w:rsidRDefault="00DB4F93" w:rsidP="00393296">
            <w:pPr>
              <w:jc w:val="left"/>
              <w:rPr>
                <w:b/>
                <w:color w:val="000000" w:themeColor="text1"/>
                <w:w w:val="100"/>
                <w:szCs w:val="22"/>
              </w:rPr>
            </w:pPr>
            <w:r w:rsidRPr="00E325A4">
              <w:rPr>
                <w:b/>
                <w:color w:val="000000" w:themeColor="text1"/>
                <w:w w:val="100"/>
                <w:szCs w:val="22"/>
              </w:rPr>
              <w:lastRenderedPageBreak/>
              <w:t>Beirat</w:t>
            </w:r>
          </w:p>
        </w:tc>
        <w:tc>
          <w:tcPr>
            <w:tcW w:w="5112" w:type="dxa"/>
          </w:tcPr>
          <w:p w:rsidR="005E1A4C" w:rsidRPr="00E325A4" w:rsidRDefault="005E1A4C" w:rsidP="005E1A4C">
            <w:pPr>
              <w:pStyle w:val="Listenabsatz"/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AC5446" w:rsidRPr="00E325A4" w:rsidRDefault="00DB4F93" w:rsidP="00E463F7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Ein Beirat kann seitens der Unternehmenseigentümer eingerichtet werden. Im Zuge der Beiratserrichtung ist nicht nur festzulegen, </w:t>
            </w:r>
            <w:r w:rsidRPr="00E325A4">
              <w:rPr>
                <w:w w:val="100"/>
                <w:szCs w:val="22"/>
              </w:rPr>
              <w:t>welche Funktion dieser erfüllt (zB rein beratende Funktion) und welche Zuständigkeiten damit verbunden sind, sondern auch die genaue Struktur des Beirats und die Anzahl der Beiratsmitglieder</w:t>
            </w:r>
            <w:r w:rsidR="00EC486B" w:rsidRPr="00E325A4">
              <w:rPr>
                <w:w w:val="100"/>
                <w:szCs w:val="22"/>
              </w:rPr>
              <w:t xml:space="preserve">. Es empfiehlt sich, dass neben den Investoren auch die Unternehmensgründer einen Vertreter in den Beirat entsenden sowie dass der Beirat </w:t>
            </w:r>
            <w:r w:rsidRPr="00E325A4">
              <w:rPr>
                <w:w w:val="100"/>
                <w:szCs w:val="22"/>
              </w:rPr>
              <w:t xml:space="preserve">von einem unabhängigen Vorsitzenden geleitet wird. Zu beachten ist, dass Geschäftsführer nicht auch gleichzeitig Beiratsmitglied sein können. </w:t>
            </w: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7A631D" w:rsidRPr="00E325A4" w:rsidRDefault="00DB4F93" w:rsidP="00393296">
            <w:pPr>
              <w:jc w:val="left"/>
              <w:rPr>
                <w:b/>
                <w:w w:val="100"/>
                <w:szCs w:val="22"/>
                <w:lang w:val="en-GB"/>
              </w:rPr>
            </w:pPr>
            <w:r w:rsidRPr="00E325A4">
              <w:rPr>
                <w:b/>
                <w:w w:val="100"/>
                <w:szCs w:val="22"/>
                <w:lang w:val="en-GB"/>
              </w:rPr>
              <w:t>Zustimmungsrechte</w:t>
            </w:r>
          </w:p>
          <w:p w:rsidR="00D02B6E" w:rsidRPr="00E325A4" w:rsidRDefault="00DB4F93" w:rsidP="00393296">
            <w:pPr>
              <w:jc w:val="left"/>
              <w:rPr>
                <w:b/>
                <w:w w:val="100"/>
                <w:szCs w:val="22"/>
                <w:lang w:val="en-GB"/>
              </w:rPr>
            </w:pPr>
            <w:r w:rsidRPr="00E325A4">
              <w:rPr>
                <w:b/>
                <w:w w:val="100"/>
                <w:szCs w:val="22"/>
                <w:lang w:val="en-GB"/>
              </w:rPr>
              <w:t>(Consent Rights)</w:t>
            </w:r>
          </w:p>
        </w:tc>
        <w:tc>
          <w:tcPr>
            <w:tcW w:w="5112" w:type="dxa"/>
          </w:tcPr>
          <w:p w:rsidR="007A631D" w:rsidRPr="00DB4F93" w:rsidRDefault="007A631D" w:rsidP="00DB4F93">
            <w:pPr>
              <w:jc w:val="left"/>
              <w:rPr>
                <w:w w:val="100"/>
                <w:szCs w:val="22"/>
              </w:rPr>
            </w:pPr>
            <w:bookmarkStart w:id="0" w:name="_GoBack"/>
            <w:bookmarkEnd w:id="0"/>
          </w:p>
        </w:tc>
        <w:tc>
          <w:tcPr>
            <w:tcW w:w="5984" w:type="dxa"/>
          </w:tcPr>
          <w:p w:rsidR="00D02B6E" w:rsidRPr="00E325A4" w:rsidRDefault="00DB4F93" w:rsidP="007A631D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M</w:t>
            </w:r>
            <w:r w:rsidRPr="00E325A4">
              <w:rPr>
                <w:w w:val="100"/>
                <w:szCs w:val="22"/>
              </w:rPr>
              <w:t>ittels eines Zus</w:t>
            </w:r>
            <w:r w:rsidRPr="00E325A4">
              <w:rPr>
                <w:w w:val="100"/>
                <w:szCs w:val="22"/>
              </w:rPr>
              <w:t>timmungsvorbehalts sichern sich Investoren die Möglichkeit/das Recht, dass trotz Minderheitsbeteiligung eine Überstimmung nicht möglich ist. Die Inanspruchnahme des Zustimmungsrechts sollte nicht dazu führen, dass eine Steuerung des operativen Geschäfts du</w:t>
            </w:r>
            <w:r w:rsidRPr="00E325A4">
              <w:rPr>
                <w:w w:val="100"/>
                <w:szCs w:val="22"/>
              </w:rPr>
              <w:t>rch den Investor allei</w:t>
            </w:r>
            <w:r w:rsidR="00BD1F36" w:rsidRPr="00E325A4">
              <w:rPr>
                <w:w w:val="100"/>
                <w:szCs w:val="22"/>
              </w:rPr>
              <w:t xml:space="preserve">ne möglich ist, sondern ist nur dann vertretbar, wenn die zu treffenden Entscheidungen direkt die Interessen des Investors tangieren. </w:t>
            </w:r>
          </w:p>
          <w:p w:rsidR="007A631D" w:rsidRPr="00E325A4" w:rsidRDefault="007A631D" w:rsidP="007A631D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7A631D" w:rsidRPr="00E325A4" w:rsidRDefault="00DB4F93" w:rsidP="00393296">
            <w:pPr>
              <w:jc w:val="left"/>
              <w:rPr>
                <w:b/>
                <w:w w:val="100"/>
                <w:szCs w:val="22"/>
                <w:lang w:val="en-GB"/>
              </w:rPr>
            </w:pPr>
            <w:r w:rsidRPr="00E325A4">
              <w:rPr>
                <w:b/>
                <w:w w:val="100"/>
                <w:szCs w:val="22"/>
                <w:lang w:val="en-GB"/>
              </w:rPr>
              <w:lastRenderedPageBreak/>
              <w:t>Wettbewerbsverbot</w:t>
            </w:r>
          </w:p>
          <w:p w:rsidR="007A631D" w:rsidRPr="00E325A4" w:rsidRDefault="007A631D" w:rsidP="007A631D">
            <w:pPr>
              <w:jc w:val="left"/>
              <w:rPr>
                <w:b/>
                <w:w w:val="100"/>
                <w:szCs w:val="22"/>
                <w:lang w:val="en-GB"/>
              </w:rPr>
            </w:pPr>
          </w:p>
        </w:tc>
        <w:tc>
          <w:tcPr>
            <w:tcW w:w="5112" w:type="dxa"/>
          </w:tcPr>
          <w:p w:rsidR="007A631D" w:rsidRPr="00E325A4" w:rsidRDefault="007A631D" w:rsidP="00FC3E8E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5C2201" w:rsidRDefault="00DB4F93" w:rsidP="0072396F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Das Wettbewerbsverbot soll sicherstellen, dass die Unternehmensgesellschafter </w:t>
            </w:r>
            <w:r w:rsidRPr="00E325A4">
              <w:rPr>
                <w:w w:val="100"/>
                <w:szCs w:val="22"/>
              </w:rPr>
              <w:t>(kann auch nur die Gründer betreffen) innerhalb eines definierten Zeitraums (z</w:t>
            </w:r>
            <w:r w:rsidR="0072396F" w:rsidRPr="00E325A4">
              <w:rPr>
                <w:w w:val="100"/>
                <w:szCs w:val="22"/>
              </w:rPr>
              <w:t>.</w:t>
            </w:r>
            <w:r w:rsidRPr="00E325A4">
              <w:rPr>
                <w:w w:val="100"/>
                <w:szCs w:val="22"/>
              </w:rPr>
              <w:t>B</w:t>
            </w:r>
            <w:r w:rsidR="0072396F" w:rsidRPr="00E325A4">
              <w:rPr>
                <w:w w:val="100"/>
                <w:szCs w:val="22"/>
              </w:rPr>
              <w:t>.</w:t>
            </w:r>
            <w:r w:rsidRPr="00E325A4">
              <w:rPr>
                <w:w w:val="100"/>
                <w:szCs w:val="22"/>
              </w:rPr>
              <w:t xml:space="preserve"> für die Dauer der Gesellschafterstellung sowie auch eine bestimmte Zeit danach) keine Tätigkeit a</w:t>
            </w:r>
            <w:r w:rsidR="000B3CD5" w:rsidRPr="00E325A4">
              <w:rPr>
                <w:w w:val="100"/>
                <w:szCs w:val="22"/>
              </w:rPr>
              <w:t>usüben oder Stellung ein</w:t>
            </w:r>
            <w:r w:rsidRPr="00E325A4">
              <w:rPr>
                <w:w w:val="100"/>
                <w:szCs w:val="22"/>
              </w:rPr>
              <w:t>nehmen (z</w:t>
            </w:r>
            <w:r w:rsidR="0072396F" w:rsidRPr="00E325A4">
              <w:rPr>
                <w:w w:val="100"/>
                <w:szCs w:val="22"/>
              </w:rPr>
              <w:t>.</w:t>
            </w:r>
            <w:r w:rsidRPr="00E325A4">
              <w:rPr>
                <w:w w:val="100"/>
                <w:szCs w:val="22"/>
              </w:rPr>
              <w:t>B</w:t>
            </w:r>
            <w:r w:rsidR="0072396F" w:rsidRPr="00E325A4">
              <w:rPr>
                <w:w w:val="100"/>
                <w:szCs w:val="22"/>
              </w:rPr>
              <w:t>.</w:t>
            </w:r>
            <w:r w:rsidRPr="00E325A4">
              <w:rPr>
                <w:w w:val="100"/>
                <w:szCs w:val="22"/>
              </w:rPr>
              <w:t xml:space="preserve"> Geschäftsführer oder Berater eines ander</w:t>
            </w:r>
            <w:r w:rsidRPr="00E325A4">
              <w:rPr>
                <w:w w:val="100"/>
                <w:szCs w:val="22"/>
              </w:rPr>
              <w:t>en Unternehmen</w:t>
            </w:r>
            <w:r w:rsidR="00F42773" w:rsidRPr="00E325A4">
              <w:rPr>
                <w:w w:val="100"/>
                <w:szCs w:val="22"/>
              </w:rPr>
              <w:t>s</w:t>
            </w:r>
            <w:r w:rsidRPr="00E325A4">
              <w:rPr>
                <w:w w:val="100"/>
                <w:szCs w:val="22"/>
              </w:rPr>
              <w:t xml:space="preserve">), </w:t>
            </w:r>
            <w:r w:rsidR="0072396F" w:rsidRPr="00E325A4">
              <w:rPr>
                <w:w w:val="100"/>
                <w:szCs w:val="22"/>
              </w:rPr>
              <w:t>welche</w:t>
            </w:r>
            <w:r w:rsidRPr="00E325A4">
              <w:rPr>
                <w:w w:val="100"/>
                <w:szCs w:val="22"/>
              </w:rPr>
              <w:t xml:space="preserve"> </w:t>
            </w:r>
            <w:r w:rsidR="000B3CD5" w:rsidRPr="00E325A4">
              <w:rPr>
                <w:w w:val="100"/>
                <w:szCs w:val="22"/>
              </w:rPr>
              <w:t>im Wettbewerb mit dem Unternehmen steht</w:t>
            </w:r>
            <w:r w:rsidR="0072396F" w:rsidRPr="00E325A4">
              <w:rPr>
                <w:w w:val="100"/>
                <w:szCs w:val="22"/>
              </w:rPr>
              <w:t>. E</w:t>
            </w:r>
            <w:r w:rsidR="00F42773" w:rsidRPr="00E325A4">
              <w:rPr>
                <w:w w:val="100"/>
                <w:szCs w:val="22"/>
              </w:rPr>
              <w:t>s</w:t>
            </w:r>
            <w:r w:rsidR="0072396F" w:rsidRPr="00E325A4">
              <w:rPr>
                <w:w w:val="100"/>
                <w:szCs w:val="22"/>
              </w:rPr>
              <w:t xml:space="preserve"> ist</w:t>
            </w:r>
            <w:r w:rsidR="00F42773" w:rsidRPr="00E325A4">
              <w:rPr>
                <w:w w:val="100"/>
                <w:szCs w:val="22"/>
              </w:rPr>
              <w:t xml:space="preserve"> nicht möglich, z</w:t>
            </w:r>
            <w:r w:rsidR="0072396F" w:rsidRPr="00E325A4">
              <w:rPr>
                <w:w w:val="100"/>
                <w:szCs w:val="22"/>
              </w:rPr>
              <w:t>.</w:t>
            </w:r>
            <w:r w:rsidR="00F42773" w:rsidRPr="00E325A4">
              <w:rPr>
                <w:w w:val="100"/>
                <w:szCs w:val="22"/>
              </w:rPr>
              <w:t>B</w:t>
            </w:r>
            <w:r w:rsidR="0072396F" w:rsidRPr="00E325A4">
              <w:rPr>
                <w:w w:val="100"/>
                <w:szCs w:val="22"/>
              </w:rPr>
              <w:t>.</w:t>
            </w:r>
            <w:r w:rsidR="00F42773" w:rsidRPr="00E325A4">
              <w:rPr>
                <w:w w:val="100"/>
                <w:szCs w:val="22"/>
              </w:rPr>
              <w:t xml:space="preserve"> leitende Mitarbeiter oder Kunden vom Unternehmen direkt oder indirekt abzuwerben.</w:t>
            </w:r>
          </w:p>
          <w:p w:rsidR="005E1A4C" w:rsidRPr="00E325A4" w:rsidRDefault="005E1A4C" w:rsidP="0072396F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7A631D" w:rsidRPr="00E325A4" w:rsidRDefault="00DB4F93" w:rsidP="00393296">
            <w:pPr>
              <w:jc w:val="left"/>
              <w:rPr>
                <w:b/>
                <w:w w:val="100"/>
                <w:szCs w:val="22"/>
                <w:lang w:val="en-GB"/>
              </w:rPr>
            </w:pPr>
            <w:r w:rsidRPr="00E325A4">
              <w:rPr>
                <w:b/>
                <w:w w:val="100"/>
                <w:szCs w:val="22"/>
              </w:rPr>
              <w:t>Intellectual Property</w:t>
            </w:r>
          </w:p>
        </w:tc>
        <w:tc>
          <w:tcPr>
            <w:tcW w:w="5112" w:type="dxa"/>
          </w:tcPr>
          <w:p w:rsidR="005E1A4C" w:rsidRPr="00E325A4" w:rsidRDefault="005E1A4C" w:rsidP="005E1A4C">
            <w:pPr>
              <w:pStyle w:val="Listenabsatz"/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7A631D" w:rsidRPr="00E325A4" w:rsidRDefault="00DB4F93" w:rsidP="007A631D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Für die Investoren ist es von zentraler Bedeutung, dass das Unternehmen bereits vor Unterzeichnung des </w:t>
            </w:r>
            <w:r w:rsidR="0072396F" w:rsidRPr="00E325A4">
              <w:rPr>
                <w:w w:val="100"/>
                <w:szCs w:val="22"/>
              </w:rPr>
              <w:t>Term Sheets</w:t>
            </w:r>
            <w:r w:rsidRPr="00E325A4">
              <w:rPr>
                <w:w w:val="100"/>
                <w:szCs w:val="22"/>
              </w:rPr>
              <w:t xml:space="preserve"> über die IP-Rechte verfügt. </w:t>
            </w:r>
            <w:r w:rsidR="005E6EFB" w:rsidRPr="00E325A4">
              <w:rPr>
                <w:w w:val="100"/>
                <w:szCs w:val="22"/>
              </w:rPr>
              <w:t xml:space="preserve">Seitens der Unternehmensgründer muss </w:t>
            </w:r>
            <w:r w:rsidRPr="00E325A4">
              <w:rPr>
                <w:w w:val="100"/>
                <w:szCs w:val="22"/>
              </w:rPr>
              <w:t xml:space="preserve">daher </w:t>
            </w:r>
            <w:r w:rsidR="005E6EFB" w:rsidRPr="00E325A4">
              <w:rPr>
                <w:w w:val="100"/>
                <w:szCs w:val="22"/>
              </w:rPr>
              <w:t>sichergestellt werden, dass die</w:t>
            </w:r>
            <w:r w:rsidRPr="00E325A4">
              <w:rPr>
                <w:w w:val="100"/>
                <w:szCs w:val="22"/>
              </w:rPr>
              <w:t xml:space="preserve"> Übertragung der</w:t>
            </w:r>
            <w:r w:rsidR="005E6EFB" w:rsidRPr="00E325A4">
              <w:rPr>
                <w:w w:val="100"/>
                <w:szCs w:val="22"/>
              </w:rPr>
              <w:t xml:space="preserve"> IP-Rechte, die für die </w:t>
            </w:r>
            <w:r w:rsidRPr="00E325A4">
              <w:rPr>
                <w:w w:val="100"/>
                <w:szCs w:val="22"/>
              </w:rPr>
              <w:t xml:space="preserve">Tätigkeit der Gesellschaft </w:t>
            </w:r>
            <w:r w:rsidR="005E6EFB" w:rsidRPr="00E325A4">
              <w:rPr>
                <w:w w:val="100"/>
                <w:szCs w:val="22"/>
              </w:rPr>
              <w:t xml:space="preserve">unerlässlich sind, </w:t>
            </w:r>
            <w:r w:rsidRPr="00E325A4">
              <w:rPr>
                <w:w w:val="100"/>
                <w:szCs w:val="22"/>
              </w:rPr>
              <w:t>bereits vor</w:t>
            </w:r>
            <w:r w:rsidR="005E6EFB" w:rsidRPr="00E325A4">
              <w:rPr>
                <w:w w:val="100"/>
                <w:szCs w:val="22"/>
              </w:rPr>
              <w:t xml:space="preserve"> der Unterzeichnung des </w:t>
            </w:r>
            <w:r w:rsidR="007C6034" w:rsidRPr="00E325A4">
              <w:rPr>
                <w:w w:val="100"/>
                <w:szCs w:val="22"/>
              </w:rPr>
              <w:t xml:space="preserve">Term </w:t>
            </w:r>
            <w:r w:rsidR="005E6EFB" w:rsidRPr="00E325A4">
              <w:rPr>
                <w:w w:val="100"/>
                <w:szCs w:val="22"/>
              </w:rPr>
              <w:t xml:space="preserve">Sheets </w:t>
            </w:r>
            <w:r w:rsidRPr="00E325A4">
              <w:rPr>
                <w:w w:val="100"/>
                <w:szCs w:val="22"/>
              </w:rPr>
              <w:t>stattgefunden hat.</w:t>
            </w: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8E209B" w:rsidRPr="00E325A4" w:rsidRDefault="00DB4F93" w:rsidP="00206DF9">
            <w:pPr>
              <w:jc w:val="left"/>
              <w:rPr>
                <w:b/>
                <w:color w:val="000000" w:themeColor="text1"/>
                <w:w w:val="100"/>
                <w:szCs w:val="22"/>
              </w:rPr>
            </w:pPr>
            <w:r w:rsidRPr="00E325A4">
              <w:rPr>
                <w:b/>
                <w:color w:val="000000" w:themeColor="text1"/>
                <w:w w:val="100"/>
                <w:szCs w:val="22"/>
              </w:rPr>
              <w:t xml:space="preserve">Zusicherungen und </w:t>
            </w:r>
            <w:r w:rsidR="003250D9" w:rsidRPr="00E325A4">
              <w:rPr>
                <w:b/>
                <w:color w:val="000000" w:themeColor="text1"/>
                <w:w w:val="100"/>
                <w:szCs w:val="22"/>
              </w:rPr>
              <w:t>Gewährleistungen</w:t>
            </w:r>
          </w:p>
          <w:p w:rsidR="00654CAA" w:rsidRPr="00E325A4" w:rsidRDefault="00DB4F93" w:rsidP="00206DF9">
            <w:pPr>
              <w:jc w:val="left"/>
              <w:rPr>
                <w:b/>
                <w:color w:val="000000" w:themeColor="text1"/>
                <w:w w:val="100"/>
                <w:szCs w:val="22"/>
              </w:rPr>
            </w:pPr>
            <w:r w:rsidRPr="00E325A4">
              <w:rPr>
                <w:b/>
                <w:color w:val="000000" w:themeColor="text1"/>
                <w:w w:val="100"/>
                <w:szCs w:val="22"/>
              </w:rPr>
              <w:t>(Warranties</w:t>
            </w:r>
            <w:r w:rsidR="005C2201" w:rsidRPr="00E325A4">
              <w:rPr>
                <w:b/>
                <w:color w:val="000000" w:themeColor="text1"/>
                <w:w w:val="100"/>
                <w:szCs w:val="22"/>
              </w:rPr>
              <w:t>)</w:t>
            </w:r>
          </w:p>
        </w:tc>
        <w:tc>
          <w:tcPr>
            <w:tcW w:w="5112" w:type="dxa"/>
          </w:tcPr>
          <w:p w:rsidR="005E1A4C" w:rsidRPr="00E325A4" w:rsidRDefault="005E1A4C" w:rsidP="005E1A4C">
            <w:pPr>
              <w:pStyle w:val="Listenabsatz"/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2E3CC3" w:rsidRPr="00E325A4" w:rsidRDefault="00DB4F93" w:rsidP="00206DF9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In der Regel lässt sich der Investor die </w:t>
            </w:r>
            <w:r w:rsidR="003250D9" w:rsidRPr="00E325A4">
              <w:rPr>
                <w:w w:val="100"/>
                <w:szCs w:val="22"/>
              </w:rPr>
              <w:t>Gewährleistungen</w:t>
            </w:r>
            <w:r w:rsidRPr="00E325A4">
              <w:rPr>
                <w:w w:val="100"/>
                <w:szCs w:val="22"/>
              </w:rPr>
              <w:t xml:space="preserve"> von den Gründern und nicht der Gesellschaft geben, da abgegebene </w:t>
            </w:r>
            <w:r w:rsidR="003250D9" w:rsidRPr="00E325A4">
              <w:rPr>
                <w:w w:val="100"/>
                <w:szCs w:val="22"/>
              </w:rPr>
              <w:t xml:space="preserve">Gewährleistungen </w:t>
            </w:r>
            <w:r w:rsidRPr="00E325A4">
              <w:rPr>
                <w:w w:val="100"/>
                <w:szCs w:val="22"/>
              </w:rPr>
              <w:t xml:space="preserve">von der Gesellschaft aufgrund einer möglichen Verletzung zwingender Kapitalerhaltungsvorschriften oftmals nicht wirksam sind. Im Zweifelfall sollten die </w:t>
            </w:r>
            <w:r w:rsidR="003250D9" w:rsidRPr="00E325A4">
              <w:rPr>
                <w:w w:val="100"/>
                <w:szCs w:val="22"/>
              </w:rPr>
              <w:t>Gewährleistungen</w:t>
            </w:r>
            <w:r w:rsidRPr="00E325A4">
              <w:rPr>
                <w:w w:val="100"/>
                <w:szCs w:val="22"/>
              </w:rPr>
              <w:t xml:space="preserve"> aus Sicht der Gründer nach bestem Wissen und Gewissen abgegeben werden.</w:t>
            </w:r>
          </w:p>
          <w:p w:rsidR="002E3CC3" w:rsidRPr="00E325A4" w:rsidRDefault="002E3CC3" w:rsidP="00206DF9">
            <w:pPr>
              <w:jc w:val="left"/>
              <w:rPr>
                <w:w w:val="100"/>
                <w:szCs w:val="22"/>
              </w:rPr>
            </w:pPr>
          </w:p>
          <w:p w:rsidR="00654CAA" w:rsidRPr="00E325A4" w:rsidRDefault="00654CAA" w:rsidP="00206DF9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654CAA" w:rsidRPr="00E325A4" w:rsidRDefault="00DB4F93" w:rsidP="00206DF9">
            <w:pPr>
              <w:jc w:val="left"/>
              <w:rPr>
                <w:b/>
                <w:color w:val="000000" w:themeColor="text1"/>
                <w:w w:val="100"/>
                <w:szCs w:val="22"/>
              </w:rPr>
            </w:pPr>
            <w:r w:rsidRPr="00E325A4">
              <w:rPr>
                <w:b/>
                <w:color w:val="000000" w:themeColor="text1"/>
                <w:w w:val="100"/>
                <w:szCs w:val="22"/>
              </w:rPr>
              <w:lastRenderedPageBreak/>
              <w:t>Due-Diligence-Prüfung</w:t>
            </w:r>
          </w:p>
        </w:tc>
        <w:tc>
          <w:tcPr>
            <w:tcW w:w="5112" w:type="dxa"/>
          </w:tcPr>
          <w:p w:rsidR="00654CAA" w:rsidRPr="00E325A4" w:rsidRDefault="00654CAA" w:rsidP="00206DF9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622ADC" w:rsidRPr="00E325A4" w:rsidRDefault="00DB4F93" w:rsidP="008E209B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Potenzielle Investoren können </w:t>
            </w:r>
            <w:r w:rsidR="0035721A" w:rsidRPr="00E325A4">
              <w:rPr>
                <w:w w:val="100"/>
                <w:szCs w:val="22"/>
              </w:rPr>
              <w:t>die</w:t>
            </w:r>
            <w:r w:rsidRPr="00E325A4">
              <w:rPr>
                <w:w w:val="100"/>
                <w:szCs w:val="22"/>
              </w:rPr>
              <w:t xml:space="preserve"> Due-Diligence-Prüfung durchführen, in der rechtliche, finanzielle, wirtschaftliche, technologische und steuerliche </w:t>
            </w:r>
            <w:r w:rsidR="00903DFE" w:rsidRPr="00E325A4">
              <w:rPr>
                <w:w w:val="100"/>
                <w:szCs w:val="22"/>
              </w:rPr>
              <w:t>Aspekte</w:t>
            </w:r>
            <w:r w:rsidRPr="00E325A4">
              <w:rPr>
                <w:w w:val="100"/>
                <w:szCs w:val="22"/>
              </w:rPr>
              <w:t xml:space="preserve"> des Unternehmens sowie auch IP-Rechte sorgfältig geprüft werden. Seitens des Unternehmens sind die für die Prüfung erforderlichen Unterlagen bereitzustellen. Die Due</w:t>
            </w:r>
            <w:r w:rsidR="0035721A" w:rsidRPr="00E325A4">
              <w:rPr>
                <w:w w:val="100"/>
                <w:szCs w:val="22"/>
              </w:rPr>
              <w:t>-Diligence-Prüfung wird oft auch gemeinsam mit externen Partnern (z</w:t>
            </w:r>
            <w:r w:rsidR="00503C80" w:rsidRPr="00E325A4">
              <w:rPr>
                <w:w w:val="100"/>
                <w:szCs w:val="22"/>
              </w:rPr>
              <w:t>.</w:t>
            </w:r>
            <w:r w:rsidR="0035721A" w:rsidRPr="00E325A4">
              <w:rPr>
                <w:w w:val="100"/>
                <w:szCs w:val="22"/>
              </w:rPr>
              <w:t>B</w:t>
            </w:r>
            <w:r w:rsidR="00503C80" w:rsidRPr="00E325A4">
              <w:rPr>
                <w:w w:val="100"/>
                <w:szCs w:val="22"/>
              </w:rPr>
              <w:t>.</w:t>
            </w:r>
            <w:r w:rsidR="0035721A" w:rsidRPr="00E325A4">
              <w:rPr>
                <w:w w:val="100"/>
                <w:szCs w:val="22"/>
              </w:rPr>
              <w:t xml:space="preserve"> Steuerberater, Wirtschaftsprüfer, Rechtsanwält</w:t>
            </w:r>
            <w:r w:rsidR="00503C80" w:rsidRPr="00E325A4">
              <w:rPr>
                <w:w w:val="100"/>
                <w:szCs w:val="22"/>
              </w:rPr>
              <w:t xml:space="preserve">e, Patentanwälte) durchgeführt. </w:t>
            </w:r>
            <w:r w:rsidR="0035721A" w:rsidRPr="00E325A4">
              <w:rPr>
                <w:w w:val="100"/>
                <w:szCs w:val="22"/>
              </w:rPr>
              <w:t xml:space="preserve">Die Due-Diligence-Prüfung </w:t>
            </w:r>
            <w:r w:rsidR="003434B2" w:rsidRPr="00E325A4">
              <w:rPr>
                <w:w w:val="100"/>
                <w:szCs w:val="22"/>
              </w:rPr>
              <w:t>ist meist auch mit der Unterzeichnung einer Gehei</w:t>
            </w:r>
            <w:r w:rsidR="00503C80" w:rsidRPr="00E325A4">
              <w:rPr>
                <w:w w:val="100"/>
                <w:szCs w:val="22"/>
              </w:rPr>
              <w:t>mhaltungsvereinbarung verbunden.</w:t>
            </w:r>
          </w:p>
          <w:p w:rsidR="00654CAA" w:rsidRPr="00E325A4" w:rsidRDefault="00654CAA" w:rsidP="008E209B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654CAA" w:rsidRPr="00E325A4" w:rsidRDefault="00DB4F93" w:rsidP="00903DFE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</w:rPr>
              <w:t>Geheimhaltungsvereinbarung (Confidentiality)</w:t>
            </w:r>
          </w:p>
        </w:tc>
        <w:tc>
          <w:tcPr>
            <w:tcW w:w="5112" w:type="dxa"/>
          </w:tcPr>
          <w:p w:rsidR="00B76AE8" w:rsidRPr="00E325A4" w:rsidRDefault="00B76AE8" w:rsidP="00B76AE8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654CAA" w:rsidRPr="00E325A4" w:rsidRDefault="00DB4F93" w:rsidP="00B76AE8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Da das Term Sheet sehr sensible Daten über das Unternehmen beinhaltet, wird zwischen dem Unternehmen und dem Investor vereinbart, dass die Inhalte des Term Sheets</w:t>
            </w:r>
            <w:r w:rsidRPr="00E325A4">
              <w:rPr>
                <w:w w:val="100"/>
                <w:szCs w:val="22"/>
              </w:rPr>
              <w:t xml:space="preserve"> und der Stand der laufenden Verhandlungen streng vertraulich zu behandeln sind. Eine Weitergabe </w:t>
            </w:r>
            <w:r w:rsidR="004830A1" w:rsidRPr="00E325A4">
              <w:rPr>
                <w:w w:val="100"/>
                <w:szCs w:val="22"/>
              </w:rPr>
              <w:t xml:space="preserve">des Term Sheets </w:t>
            </w:r>
            <w:r w:rsidRPr="00E325A4">
              <w:rPr>
                <w:w w:val="100"/>
                <w:szCs w:val="22"/>
              </w:rPr>
              <w:t xml:space="preserve">an externe Dritte </w:t>
            </w:r>
            <w:r w:rsidR="004830A1" w:rsidRPr="00E325A4">
              <w:rPr>
                <w:w w:val="100"/>
                <w:szCs w:val="22"/>
              </w:rPr>
              <w:t xml:space="preserve">darf nur dann erfolgen, wenn dies für den Abschluss der Verhandlungen aus rechtlichen, technischen oder finanziellen Aspekten erforderlich ist und diese Personen vertraglich oder berufs- oder standesrechtlich zur Verschwiegenheit verpflichtet sind. </w:t>
            </w:r>
          </w:p>
          <w:p w:rsidR="005C2201" w:rsidRPr="00E325A4" w:rsidRDefault="005C2201" w:rsidP="00B76AE8">
            <w:pPr>
              <w:jc w:val="left"/>
              <w:rPr>
                <w:w w:val="100"/>
                <w:szCs w:val="22"/>
              </w:rPr>
            </w:pPr>
          </w:p>
        </w:tc>
      </w:tr>
      <w:tr w:rsidR="005703B2" w:rsidTr="00E325A4">
        <w:trPr>
          <w:cantSplit/>
        </w:trPr>
        <w:tc>
          <w:tcPr>
            <w:tcW w:w="3500" w:type="dxa"/>
          </w:tcPr>
          <w:p w:rsidR="005C2201" w:rsidRPr="00E325A4" w:rsidRDefault="00DB4F93" w:rsidP="00206DF9">
            <w:pPr>
              <w:jc w:val="left"/>
              <w:rPr>
                <w:b/>
                <w:w w:val="100"/>
                <w:szCs w:val="22"/>
                <w:lang w:val="en-GB"/>
              </w:rPr>
            </w:pPr>
            <w:r w:rsidRPr="00E325A4">
              <w:rPr>
                <w:b/>
                <w:w w:val="100"/>
                <w:szCs w:val="22"/>
                <w:lang w:val="en-GB"/>
              </w:rPr>
              <w:lastRenderedPageBreak/>
              <w:t>Haftung</w:t>
            </w:r>
          </w:p>
          <w:p w:rsidR="00AA4CF6" w:rsidRPr="00E325A4" w:rsidRDefault="00DB4F93" w:rsidP="005C2201">
            <w:pPr>
              <w:jc w:val="left"/>
              <w:rPr>
                <w:b/>
                <w:w w:val="100"/>
                <w:szCs w:val="22"/>
              </w:rPr>
            </w:pPr>
            <w:r w:rsidRPr="00E325A4">
              <w:rPr>
                <w:b/>
                <w:w w:val="100"/>
                <w:szCs w:val="22"/>
                <w:lang w:val="en-GB"/>
              </w:rPr>
              <w:t>(Non-Binding-Effect)</w:t>
            </w:r>
          </w:p>
        </w:tc>
        <w:tc>
          <w:tcPr>
            <w:tcW w:w="5112" w:type="dxa"/>
          </w:tcPr>
          <w:p w:rsidR="00AA4CF6" w:rsidRPr="00E325A4" w:rsidRDefault="00DB4F93" w:rsidP="00B76AE8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Das gegenständliche Term Sheet ist prinzipiell nicht rechtlich bindend.</w:t>
            </w:r>
            <w:r w:rsidR="00F01459" w:rsidRPr="00E325A4">
              <w:rPr>
                <w:w w:val="100"/>
                <w:szCs w:val="22"/>
              </w:rPr>
              <w:t xml:space="preserve"> Sollten die Investorengespräche abgebrochen werden, können weder von Seiten des Investors noch von Seiten des Unternehmens aufgrund des vorliegenden Term Sheet Ansprüche gegenüber der anderen Partei geltend gemacht werden.</w:t>
            </w:r>
          </w:p>
          <w:p w:rsidR="00AA4CF6" w:rsidRPr="00E325A4" w:rsidRDefault="00AA4CF6" w:rsidP="00B76AE8">
            <w:pPr>
              <w:jc w:val="left"/>
              <w:rPr>
                <w:w w:val="100"/>
                <w:szCs w:val="22"/>
              </w:rPr>
            </w:pPr>
          </w:p>
          <w:p w:rsidR="00AA4CF6" w:rsidRPr="00E325A4" w:rsidRDefault="00DB4F93" w:rsidP="00B76AE8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Ausgenommen vom Grundsatz der R</w:t>
            </w:r>
            <w:r w:rsidRPr="00E325A4">
              <w:rPr>
                <w:w w:val="100"/>
                <w:szCs w:val="22"/>
              </w:rPr>
              <w:t>echtsunverbindlichkeit des gegenständlichen Term Sheets sind die nachfolgend angeführten Bestimmungen</w:t>
            </w:r>
            <w:r w:rsidR="00903DFE" w:rsidRPr="00E325A4">
              <w:rPr>
                <w:w w:val="100"/>
                <w:szCs w:val="22"/>
              </w:rPr>
              <w:t>:</w:t>
            </w:r>
          </w:p>
          <w:p w:rsidR="00F01459" w:rsidRPr="00E325A4" w:rsidRDefault="00F01459" w:rsidP="00B76AE8">
            <w:pPr>
              <w:jc w:val="left"/>
              <w:rPr>
                <w:w w:val="100"/>
                <w:szCs w:val="22"/>
              </w:rPr>
            </w:pPr>
          </w:p>
          <w:p w:rsidR="00F01459" w:rsidRPr="00E325A4" w:rsidRDefault="00DB4F93" w:rsidP="00F01459">
            <w:pPr>
              <w:pStyle w:val="Listenabsatz"/>
              <w:numPr>
                <w:ilvl w:val="0"/>
                <w:numId w:val="16"/>
              </w:num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Geheimhaltungsvereinbarung</w:t>
            </w:r>
          </w:p>
          <w:p w:rsidR="00AA4CF6" w:rsidRPr="00E325A4" w:rsidRDefault="00DB4F93" w:rsidP="00AA4CF6">
            <w:pPr>
              <w:pStyle w:val="Listenabsatz"/>
              <w:numPr>
                <w:ilvl w:val="0"/>
                <w:numId w:val="16"/>
              </w:num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Rechtswirksamkeit</w:t>
            </w:r>
          </w:p>
          <w:p w:rsidR="005C2201" w:rsidRPr="00E325A4" w:rsidRDefault="005C2201" w:rsidP="005C2201">
            <w:pPr>
              <w:jc w:val="left"/>
              <w:rPr>
                <w:w w:val="100"/>
                <w:szCs w:val="22"/>
              </w:rPr>
            </w:pPr>
          </w:p>
        </w:tc>
        <w:tc>
          <w:tcPr>
            <w:tcW w:w="5984" w:type="dxa"/>
          </w:tcPr>
          <w:p w:rsidR="00AA4CF6" w:rsidRPr="00E325A4" w:rsidRDefault="00DB4F93" w:rsidP="00AA4CF6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Grundsätzlich stellt das Term Sheet eine unverbindliche Vereinbarung dar, in der die wesentlichen </w:t>
            </w:r>
            <w:r w:rsidR="00F01459" w:rsidRPr="00E325A4">
              <w:rPr>
                <w:w w:val="100"/>
                <w:szCs w:val="22"/>
              </w:rPr>
              <w:t xml:space="preserve">Bedingungen hinsichtlich des geplanten Investments festgelegt werden. </w:t>
            </w:r>
          </w:p>
          <w:p w:rsidR="00F01459" w:rsidRPr="00E325A4" w:rsidRDefault="00F01459" w:rsidP="00AA4CF6">
            <w:pPr>
              <w:jc w:val="left"/>
              <w:rPr>
                <w:w w:val="100"/>
                <w:szCs w:val="22"/>
              </w:rPr>
            </w:pPr>
          </w:p>
          <w:p w:rsidR="00AA4CF6" w:rsidRPr="00E325A4" w:rsidRDefault="00DB4F93" w:rsidP="00AA4CF6">
            <w:pPr>
              <w:jc w:val="left"/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S</w:t>
            </w:r>
            <w:r w:rsidR="00903DFE" w:rsidRPr="00E325A4">
              <w:rPr>
                <w:w w:val="100"/>
                <w:szCs w:val="22"/>
              </w:rPr>
              <w:t>olange keine Unterzeichnung des Beteiligungsvertrags</w:t>
            </w:r>
            <w:r w:rsidRPr="00E325A4">
              <w:rPr>
                <w:w w:val="100"/>
                <w:szCs w:val="22"/>
              </w:rPr>
              <w:t xml:space="preserve"> erfolgt ist, ist keine der beiden Parteien zur </w:t>
            </w:r>
            <w:r w:rsidR="002D4CC5" w:rsidRPr="00E325A4">
              <w:rPr>
                <w:w w:val="100"/>
                <w:szCs w:val="22"/>
              </w:rPr>
              <w:t>Durchführung</w:t>
            </w:r>
            <w:r w:rsidRPr="00E325A4">
              <w:rPr>
                <w:w w:val="100"/>
                <w:szCs w:val="22"/>
              </w:rPr>
              <w:t xml:space="preserve"> des Investments verpflichtet. </w:t>
            </w:r>
          </w:p>
          <w:p w:rsidR="00AA4CF6" w:rsidRPr="00E325A4" w:rsidRDefault="00AA4CF6" w:rsidP="00AA4CF6">
            <w:pPr>
              <w:jc w:val="left"/>
              <w:rPr>
                <w:w w:val="100"/>
                <w:szCs w:val="22"/>
              </w:rPr>
            </w:pPr>
          </w:p>
          <w:p w:rsidR="00AA4CF6" w:rsidRPr="00E325A4" w:rsidRDefault="00AA4CF6" w:rsidP="00AA4CF6">
            <w:pPr>
              <w:jc w:val="left"/>
              <w:rPr>
                <w:w w:val="100"/>
                <w:szCs w:val="22"/>
              </w:rPr>
            </w:pPr>
          </w:p>
        </w:tc>
      </w:tr>
    </w:tbl>
    <w:p w:rsidR="008E0E5C" w:rsidRPr="00E325A4" w:rsidRDefault="008E0E5C" w:rsidP="008E209B">
      <w:pPr>
        <w:rPr>
          <w:b/>
          <w:w w:val="100"/>
          <w:szCs w:val="22"/>
          <w:lang w:val="en-US"/>
        </w:rPr>
      </w:pPr>
    </w:p>
    <w:p w:rsidR="00A71924" w:rsidRPr="00E325A4" w:rsidRDefault="00A71924" w:rsidP="008E0E5C">
      <w:pPr>
        <w:rPr>
          <w:b/>
          <w:w w:val="100"/>
          <w:szCs w:val="22"/>
          <w:lang w:val="de-DE"/>
        </w:rPr>
      </w:pPr>
    </w:p>
    <w:p w:rsidR="008E0E5C" w:rsidRPr="00E325A4" w:rsidRDefault="00DB4F93" w:rsidP="008A713B">
      <w:pPr>
        <w:pStyle w:val="Listenabsatz"/>
        <w:numPr>
          <w:ilvl w:val="0"/>
          <w:numId w:val="16"/>
        </w:numPr>
        <w:rPr>
          <w:w w:val="100"/>
          <w:szCs w:val="22"/>
          <w:lang w:val="de-DE"/>
        </w:rPr>
      </w:pPr>
      <w:r w:rsidRPr="00E325A4">
        <w:rPr>
          <w:b/>
          <w:w w:val="100"/>
          <w:szCs w:val="22"/>
          <w:lang w:val="de-DE"/>
        </w:rPr>
        <w:t>Anhang:</w:t>
      </w:r>
      <w:r w:rsidRPr="00E325A4">
        <w:rPr>
          <w:w w:val="100"/>
          <w:szCs w:val="22"/>
          <w:lang w:val="de-DE"/>
        </w:rPr>
        <w:t xml:space="preserve"> Cap Table</w:t>
      </w:r>
    </w:p>
    <w:p w:rsidR="008E0E5C" w:rsidRPr="00E325A4" w:rsidRDefault="008E0E5C" w:rsidP="008E209B">
      <w:pPr>
        <w:rPr>
          <w:b/>
          <w:w w:val="100"/>
          <w:szCs w:val="22"/>
          <w:lang w:val="en-US"/>
        </w:rPr>
      </w:pPr>
    </w:p>
    <w:p w:rsidR="008E0E5C" w:rsidRPr="00E325A4" w:rsidRDefault="008E0E5C" w:rsidP="008E209B">
      <w:pPr>
        <w:rPr>
          <w:b/>
          <w:w w:val="100"/>
          <w:szCs w:val="22"/>
          <w:lang w:val="en-US"/>
        </w:rPr>
      </w:pPr>
    </w:p>
    <w:p w:rsidR="008E209B" w:rsidRPr="00E325A4" w:rsidRDefault="00DB4F93" w:rsidP="008E0E5C">
      <w:pPr>
        <w:spacing w:line="240" w:lineRule="auto"/>
        <w:jc w:val="left"/>
        <w:rPr>
          <w:b/>
          <w:w w:val="100"/>
          <w:szCs w:val="22"/>
          <w:lang w:val="en-US"/>
        </w:rPr>
      </w:pPr>
      <w:r w:rsidRPr="00E325A4">
        <w:rPr>
          <w:b/>
          <w:w w:val="100"/>
          <w:szCs w:val="22"/>
          <w:lang w:val="en-US"/>
        </w:rPr>
        <w:t>Investoren</w:t>
      </w:r>
    </w:p>
    <w:p w:rsidR="008E209B" w:rsidRPr="00E325A4" w:rsidRDefault="008E209B" w:rsidP="008E209B">
      <w:pPr>
        <w:rPr>
          <w:w w:val="100"/>
          <w:szCs w:val="22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4"/>
      </w:tblGrid>
      <w:tr w:rsidR="005703B2" w:rsidTr="00B27F2E">
        <w:trPr>
          <w:jc w:val="center"/>
        </w:trPr>
        <w:tc>
          <w:tcPr>
            <w:tcW w:w="4704" w:type="dxa"/>
            <w:shd w:val="clear" w:color="auto" w:fill="auto"/>
          </w:tcPr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_________________, ___/___/________</w:t>
            </w: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Ort, Datum</w:t>
            </w: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  <w:lang w:val="en-US"/>
              </w:rPr>
            </w:pPr>
            <w:r w:rsidRPr="00E325A4">
              <w:rPr>
                <w:w w:val="100"/>
                <w:szCs w:val="22"/>
                <w:lang w:val="en-US"/>
              </w:rPr>
              <w:t>____________________________________</w:t>
            </w:r>
          </w:p>
        </w:tc>
        <w:tc>
          <w:tcPr>
            <w:tcW w:w="4704" w:type="dxa"/>
            <w:shd w:val="clear" w:color="auto" w:fill="auto"/>
          </w:tcPr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_________________, ___/___/________</w:t>
            </w: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Ort, Datum </w:t>
            </w: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  <w:lang w:val="en-US"/>
              </w:rPr>
            </w:pPr>
            <w:r w:rsidRPr="00E325A4">
              <w:rPr>
                <w:w w:val="100"/>
                <w:szCs w:val="22"/>
                <w:lang w:val="en-US"/>
              </w:rPr>
              <w:t>____________________________________</w:t>
            </w:r>
          </w:p>
        </w:tc>
      </w:tr>
      <w:tr w:rsidR="005703B2" w:rsidTr="00B27F2E">
        <w:trPr>
          <w:jc w:val="center"/>
        </w:trPr>
        <w:tc>
          <w:tcPr>
            <w:tcW w:w="4704" w:type="dxa"/>
            <w:shd w:val="clear" w:color="auto" w:fill="auto"/>
          </w:tcPr>
          <w:p w:rsidR="008E209B" w:rsidRPr="00E325A4" w:rsidRDefault="00DB4F93" w:rsidP="008E209B">
            <w:pPr>
              <w:rPr>
                <w:w w:val="100"/>
                <w:szCs w:val="22"/>
                <w:lang w:val="en-US"/>
              </w:rPr>
            </w:pPr>
            <w:r w:rsidRPr="00E325A4">
              <w:rPr>
                <w:w w:val="100"/>
                <w:szCs w:val="22"/>
              </w:rPr>
              <w:t>Unterschrift</w:t>
            </w:r>
          </w:p>
        </w:tc>
        <w:tc>
          <w:tcPr>
            <w:tcW w:w="4704" w:type="dxa"/>
            <w:shd w:val="clear" w:color="auto" w:fill="auto"/>
          </w:tcPr>
          <w:p w:rsidR="008E209B" w:rsidRPr="00E325A4" w:rsidRDefault="00DB4F93" w:rsidP="008E209B">
            <w:pPr>
              <w:rPr>
                <w:w w:val="100"/>
                <w:szCs w:val="22"/>
                <w:lang w:val="en-US"/>
              </w:rPr>
            </w:pPr>
            <w:r w:rsidRPr="00E325A4">
              <w:rPr>
                <w:w w:val="100"/>
                <w:szCs w:val="22"/>
              </w:rPr>
              <w:t>Unterschrift</w:t>
            </w:r>
          </w:p>
        </w:tc>
      </w:tr>
    </w:tbl>
    <w:p w:rsidR="008E209B" w:rsidRPr="00E325A4" w:rsidRDefault="008E209B" w:rsidP="008E209B">
      <w:pPr>
        <w:rPr>
          <w:b/>
          <w:w w:val="100"/>
          <w:szCs w:val="22"/>
        </w:rPr>
      </w:pPr>
    </w:p>
    <w:p w:rsidR="006632D7" w:rsidRPr="00E325A4" w:rsidRDefault="006632D7" w:rsidP="008E209B">
      <w:pPr>
        <w:rPr>
          <w:b/>
          <w:w w:val="100"/>
          <w:szCs w:val="22"/>
        </w:rPr>
      </w:pPr>
    </w:p>
    <w:p w:rsidR="006632D7" w:rsidRPr="00E325A4" w:rsidRDefault="006632D7" w:rsidP="008E209B">
      <w:pPr>
        <w:rPr>
          <w:b/>
          <w:w w:val="100"/>
          <w:szCs w:val="22"/>
        </w:rPr>
      </w:pPr>
    </w:p>
    <w:p w:rsidR="008E209B" w:rsidRPr="00E325A4" w:rsidRDefault="00DB4F93" w:rsidP="008E209B">
      <w:pPr>
        <w:rPr>
          <w:b/>
          <w:w w:val="100"/>
          <w:szCs w:val="22"/>
        </w:rPr>
      </w:pPr>
      <w:r w:rsidRPr="00E325A4">
        <w:rPr>
          <w:b/>
          <w:w w:val="100"/>
          <w:szCs w:val="22"/>
        </w:rPr>
        <w:t>Gründer</w:t>
      </w:r>
    </w:p>
    <w:p w:rsidR="008E209B" w:rsidRPr="00E325A4" w:rsidRDefault="008E209B" w:rsidP="008E209B">
      <w:pPr>
        <w:rPr>
          <w:w w:val="100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4"/>
      </w:tblGrid>
      <w:tr w:rsidR="005703B2" w:rsidTr="00B27F2E">
        <w:trPr>
          <w:jc w:val="center"/>
        </w:trPr>
        <w:tc>
          <w:tcPr>
            <w:tcW w:w="4704" w:type="dxa"/>
            <w:shd w:val="clear" w:color="auto" w:fill="auto"/>
          </w:tcPr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  _________________, ___/___/________</w:t>
            </w: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Ort, Datum</w:t>
            </w: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  <w:lang w:val="en-US"/>
              </w:rPr>
            </w:pPr>
            <w:r w:rsidRPr="00E325A4">
              <w:rPr>
                <w:w w:val="100"/>
                <w:szCs w:val="22"/>
                <w:lang w:val="en-US"/>
              </w:rPr>
              <w:t>____________________________________</w:t>
            </w:r>
          </w:p>
        </w:tc>
        <w:tc>
          <w:tcPr>
            <w:tcW w:w="4704" w:type="dxa"/>
            <w:shd w:val="clear" w:color="auto" w:fill="auto"/>
          </w:tcPr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  _________________, ___/___/________</w:t>
            </w:r>
          </w:p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Ort, Datum</w:t>
            </w: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</w:rPr>
            </w:pPr>
          </w:p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  <w:p w:rsidR="008E209B" w:rsidRPr="00E325A4" w:rsidRDefault="00DB4F93" w:rsidP="008E209B">
            <w:pPr>
              <w:rPr>
                <w:w w:val="100"/>
                <w:szCs w:val="22"/>
                <w:lang w:val="en-US"/>
              </w:rPr>
            </w:pPr>
            <w:r w:rsidRPr="00E325A4">
              <w:rPr>
                <w:w w:val="100"/>
                <w:szCs w:val="22"/>
                <w:lang w:val="en-US"/>
              </w:rPr>
              <w:t>____________________________________</w:t>
            </w:r>
          </w:p>
        </w:tc>
      </w:tr>
      <w:tr w:rsidR="005703B2" w:rsidTr="00B27F2E">
        <w:trPr>
          <w:jc w:val="center"/>
        </w:trPr>
        <w:tc>
          <w:tcPr>
            <w:tcW w:w="4704" w:type="dxa"/>
            <w:shd w:val="clear" w:color="auto" w:fill="auto"/>
          </w:tcPr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>Unterschrift</w:t>
            </w:r>
          </w:p>
        </w:tc>
        <w:tc>
          <w:tcPr>
            <w:tcW w:w="4704" w:type="dxa"/>
            <w:shd w:val="clear" w:color="auto" w:fill="auto"/>
          </w:tcPr>
          <w:p w:rsidR="008E209B" w:rsidRPr="00E325A4" w:rsidRDefault="00DB4F93" w:rsidP="008E209B">
            <w:pPr>
              <w:rPr>
                <w:w w:val="100"/>
                <w:szCs w:val="22"/>
              </w:rPr>
            </w:pPr>
            <w:r w:rsidRPr="00E325A4">
              <w:rPr>
                <w:w w:val="100"/>
                <w:szCs w:val="22"/>
              </w:rPr>
              <w:t xml:space="preserve">Unterschrift </w:t>
            </w:r>
          </w:p>
          <w:p w:rsidR="008E209B" w:rsidRPr="00E325A4" w:rsidRDefault="008E209B" w:rsidP="008E209B">
            <w:pPr>
              <w:rPr>
                <w:w w:val="100"/>
                <w:szCs w:val="22"/>
                <w:lang w:val="en-US"/>
              </w:rPr>
            </w:pPr>
          </w:p>
        </w:tc>
      </w:tr>
      <w:tr w:rsidR="005703B2" w:rsidTr="00B27F2E">
        <w:trPr>
          <w:jc w:val="center"/>
        </w:trPr>
        <w:tc>
          <w:tcPr>
            <w:tcW w:w="4704" w:type="dxa"/>
            <w:shd w:val="clear" w:color="auto" w:fill="auto"/>
          </w:tcPr>
          <w:p w:rsidR="00F23978" w:rsidRPr="00E325A4" w:rsidRDefault="00F23978" w:rsidP="008E209B">
            <w:pPr>
              <w:rPr>
                <w:w w:val="100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:rsidR="00F23978" w:rsidRPr="00E325A4" w:rsidRDefault="00F23978" w:rsidP="008E209B">
            <w:pPr>
              <w:rPr>
                <w:w w:val="100"/>
                <w:szCs w:val="22"/>
              </w:rPr>
            </w:pPr>
          </w:p>
        </w:tc>
      </w:tr>
    </w:tbl>
    <w:p w:rsidR="00F23978" w:rsidRPr="00E325A4" w:rsidRDefault="00F23978" w:rsidP="00903DFE">
      <w:pPr>
        <w:rPr>
          <w:w w:val="100"/>
          <w:szCs w:val="22"/>
          <w:lang w:val="de-DE"/>
        </w:rPr>
      </w:pPr>
    </w:p>
    <w:p w:rsidR="008E0E5C" w:rsidRPr="00E325A4" w:rsidRDefault="008E0E5C" w:rsidP="00903DFE">
      <w:pPr>
        <w:rPr>
          <w:w w:val="100"/>
          <w:szCs w:val="22"/>
          <w:lang w:val="de-DE"/>
        </w:rPr>
      </w:pPr>
    </w:p>
    <w:p w:rsidR="00E325A4" w:rsidRPr="00E325A4" w:rsidRDefault="00E325A4">
      <w:pPr>
        <w:rPr>
          <w:w w:val="100"/>
          <w:szCs w:val="22"/>
          <w:lang w:val="de-DE"/>
        </w:rPr>
      </w:pPr>
    </w:p>
    <w:sectPr w:rsidR="00E325A4" w:rsidRPr="00E325A4" w:rsidSect="00E325A4">
      <w:headerReference w:type="default" r:id="rId7"/>
      <w:footerReference w:type="default" r:id="rId8"/>
      <w:pgSz w:w="16838" w:h="11906" w:orient="landscape"/>
      <w:pgMar w:top="1417" w:right="1417" w:bottom="851" w:left="1134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4F93">
      <w:pPr>
        <w:spacing w:line="240" w:lineRule="auto"/>
      </w:pPr>
      <w:r>
        <w:separator/>
      </w:r>
    </w:p>
  </w:endnote>
  <w:endnote w:type="continuationSeparator" w:id="0">
    <w:p w:rsidR="00000000" w:rsidRDefault="00DB4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w w:val="100"/>
      </w:rPr>
      <w:id w:val="789163359"/>
      <w:docPartObj>
        <w:docPartGallery w:val="Page Numbers (Bottom of Page)"/>
        <w:docPartUnique/>
      </w:docPartObj>
    </w:sdtPr>
    <w:sdtEndPr/>
    <w:sdtContent>
      <w:sdt>
        <w:sdtPr>
          <w:rPr>
            <w:w w:val="10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015C" w:rsidRPr="00E325A4" w:rsidRDefault="00DB4F93" w:rsidP="00E325A4">
            <w:pPr>
              <w:pStyle w:val="Fuzeile"/>
              <w:tabs>
                <w:tab w:val="clear" w:pos="4536"/>
                <w:tab w:val="clear" w:pos="9072"/>
                <w:tab w:val="center" w:pos="6946"/>
                <w:tab w:val="right" w:pos="14287"/>
              </w:tabs>
              <w:jc w:val="left"/>
              <w:rPr>
                <w:w w:val="100"/>
              </w:rPr>
            </w:pPr>
            <w:r>
              <w:rPr>
                <w:w w:val="100"/>
              </w:rPr>
              <w:t xml:space="preserve">Unterliegt in </w:t>
            </w:r>
            <w:r>
              <w:rPr>
                <w:w w:val="100"/>
              </w:rPr>
              <w:t>gedruckter Form nicht dem Änderungsdienst.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ab/>
            </w:r>
            <w:r w:rsidRPr="00E325A4">
              <w:rPr>
                <w:w w:val="100"/>
                <w:lang w:val="de-DE"/>
              </w:rPr>
              <w:t xml:space="preserve">Seite </w:t>
            </w:r>
            <w:r w:rsidRPr="00E325A4">
              <w:rPr>
                <w:bCs/>
                <w:w w:val="100"/>
                <w:sz w:val="24"/>
              </w:rPr>
              <w:fldChar w:fldCharType="begin"/>
            </w:r>
            <w:r w:rsidRPr="00E325A4">
              <w:rPr>
                <w:bCs/>
                <w:w w:val="100"/>
              </w:rPr>
              <w:instrText>PAGE</w:instrText>
            </w:r>
            <w:r w:rsidRPr="00E325A4">
              <w:rPr>
                <w:bCs/>
                <w:w w:val="100"/>
                <w:sz w:val="24"/>
              </w:rPr>
              <w:fldChar w:fldCharType="separate"/>
            </w:r>
            <w:r>
              <w:rPr>
                <w:bCs/>
                <w:noProof/>
                <w:w w:val="100"/>
              </w:rPr>
              <w:t>6</w:t>
            </w:r>
            <w:r w:rsidRPr="00E325A4">
              <w:rPr>
                <w:bCs/>
                <w:w w:val="100"/>
                <w:sz w:val="24"/>
              </w:rPr>
              <w:fldChar w:fldCharType="end"/>
            </w:r>
            <w:r w:rsidRPr="00E325A4">
              <w:rPr>
                <w:w w:val="100"/>
                <w:lang w:val="de-DE"/>
              </w:rPr>
              <w:t xml:space="preserve"> von </w:t>
            </w:r>
            <w:r w:rsidRPr="00E325A4">
              <w:rPr>
                <w:bCs/>
                <w:w w:val="100"/>
                <w:sz w:val="24"/>
              </w:rPr>
              <w:fldChar w:fldCharType="begin"/>
            </w:r>
            <w:r w:rsidRPr="00E325A4">
              <w:rPr>
                <w:bCs/>
                <w:w w:val="100"/>
              </w:rPr>
              <w:instrText>NUMPAGES</w:instrText>
            </w:r>
            <w:r w:rsidRPr="00E325A4">
              <w:rPr>
                <w:bCs/>
                <w:w w:val="100"/>
                <w:sz w:val="24"/>
              </w:rPr>
              <w:fldChar w:fldCharType="separate"/>
            </w:r>
            <w:r>
              <w:rPr>
                <w:bCs/>
                <w:noProof/>
                <w:w w:val="100"/>
              </w:rPr>
              <w:t>9</w:t>
            </w:r>
            <w:r w:rsidRPr="00E325A4">
              <w:rPr>
                <w:bCs/>
                <w:w w:val="100"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4F93">
      <w:pPr>
        <w:spacing w:line="240" w:lineRule="auto"/>
      </w:pPr>
      <w:r>
        <w:separator/>
      </w:r>
    </w:p>
  </w:footnote>
  <w:footnote w:type="continuationSeparator" w:id="0">
    <w:p w:rsidR="00000000" w:rsidRDefault="00DB4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835"/>
      <w:gridCol w:w="708"/>
      <w:gridCol w:w="1277"/>
      <w:gridCol w:w="7584"/>
    </w:tblGrid>
    <w:tr w:rsidR="005703B2" w:rsidTr="00E325A4">
      <w:trPr>
        <w:cantSplit/>
        <w:trHeight w:val="993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E325A4" w:rsidRPr="00C33807" w:rsidRDefault="00E325A4" w:rsidP="00E325A4">
          <w:pPr>
            <w:spacing w:line="240" w:lineRule="auto"/>
            <w:jc w:val="left"/>
            <w:rPr>
              <w:sz w:val="20"/>
              <w:szCs w:val="20"/>
            </w:rPr>
          </w:pPr>
        </w:p>
      </w:tc>
      <w:tc>
        <w:tcPr>
          <w:tcW w:w="8861" w:type="dxa"/>
          <w:gridSpan w:val="2"/>
          <w:tcBorders>
            <w:bottom w:val="single" w:sz="6" w:space="0" w:color="auto"/>
          </w:tcBorders>
          <w:vAlign w:val="center"/>
        </w:tcPr>
        <w:p w:rsidR="00E325A4" w:rsidRPr="00C33807" w:rsidRDefault="00DB4F93" w:rsidP="00E325A4">
          <w:pPr>
            <w:pStyle w:val="Kopfzeile"/>
            <w:spacing w:before="220" w:after="220"/>
            <w:rPr>
              <w:b/>
              <w:sz w:val="20"/>
            </w:rPr>
          </w:pPr>
          <w:r w:rsidRPr="00C33807">
            <w:rPr>
              <w:noProof/>
              <w:szCs w:val="22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-84455</wp:posOffset>
                </wp:positionV>
                <wp:extent cx="179959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19893" y="20548"/>
                    <wp:lineTo x="21265" y="8072"/>
                    <wp:lineTo x="21265" y="5871"/>
                    <wp:lineTo x="19893" y="0"/>
                    <wp:lineTo x="0" y="0"/>
                  </wp:wrapPolygon>
                </wp:wrapTight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 1" descr="http://www.sfg.at/downloads/img/89872_SFGLogo4cLandesrat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703B2" w:rsidTr="00E325A4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325A4" w:rsidRPr="00E325A4" w:rsidRDefault="00DB4F93" w:rsidP="00E325A4">
          <w:pPr>
            <w:pStyle w:val="Kopfzeile"/>
            <w:rPr>
              <w:b/>
              <w:w w:val="100"/>
              <w:sz w:val="20"/>
            </w:rPr>
          </w:pPr>
          <w:r w:rsidRPr="00E325A4">
            <w:rPr>
              <w:b/>
              <w:w w:val="100"/>
              <w:sz w:val="20"/>
            </w:rPr>
            <w:t>Dokument:</w:t>
          </w:r>
        </w:p>
      </w:tc>
      <w:tc>
        <w:tcPr>
          <w:tcW w:w="12404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325A4" w:rsidRPr="00E325A4" w:rsidRDefault="00DB4F93" w:rsidP="00E325A4">
          <w:pPr>
            <w:pStyle w:val="Kopfzeile"/>
            <w:rPr>
              <w:w w:val="100"/>
              <w:sz w:val="20"/>
            </w:rPr>
          </w:pPr>
          <w:r w:rsidRPr="00E325A4">
            <w:rPr>
              <w:w w:val="100"/>
              <w:sz w:val="20"/>
            </w:rPr>
            <w:fldChar w:fldCharType="begin"/>
          </w:r>
          <w:r w:rsidRPr="00E325A4">
            <w:rPr>
              <w:w w:val="100"/>
              <w:sz w:val="20"/>
            </w:rPr>
            <w:instrText xml:space="preserve"> DOCPROPERTY rox_Kennung \* MERGEFORMAT </w:instrText>
          </w:r>
          <w:r w:rsidRPr="00E325A4">
            <w:rPr>
              <w:w w:val="100"/>
              <w:sz w:val="20"/>
            </w:rPr>
            <w:fldChar w:fldCharType="separate"/>
          </w:r>
          <w:r w:rsidRPr="00E325A4">
            <w:rPr>
              <w:w w:val="100"/>
              <w:sz w:val="20"/>
            </w:rPr>
            <w:t xml:space="preserve">10_VL_3_Term </w:t>
          </w:r>
          <w:proofErr w:type="spellStart"/>
          <w:r w:rsidRPr="00E325A4">
            <w:rPr>
              <w:w w:val="100"/>
              <w:sz w:val="20"/>
            </w:rPr>
            <w:t>Sheet_Start!Klar</w:t>
          </w:r>
          <w:proofErr w:type="spellEnd"/>
          <w:r w:rsidRPr="00E325A4">
            <w:rPr>
              <w:w w:val="100"/>
              <w:sz w:val="20"/>
            </w:rPr>
            <w:t xml:space="preserve"> plus</w:t>
          </w:r>
          <w:r w:rsidRPr="00E325A4">
            <w:rPr>
              <w:w w:val="100"/>
              <w:sz w:val="20"/>
            </w:rPr>
            <w:fldChar w:fldCharType="end"/>
          </w:r>
        </w:p>
      </w:tc>
    </w:tr>
    <w:tr w:rsidR="005703B2" w:rsidTr="00E325A4"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325A4" w:rsidRPr="00E325A4" w:rsidRDefault="00DB4F93" w:rsidP="00E325A4">
          <w:pPr>
            <w:pStyle w:val="Kopfzeile"/>
            <w:rPr>
              <w:b/>
              <w:w w:val="100"/>
              <w:sz w:val="20"/>
            </w:rPr>
          </w:pPr>
          <w:r w:rsidRPr="00E325A4">
            <w:rPr>
              <w:b/>
              <w:w w:val="100"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325A4" w:rsidRPr="00E325A4" w:rsidRDefault="00DB4F93" w:rsidP="00E325A4">
          <w:pPr>
            <w:pStyle w:val="Kopfzeile"/>
            <w:rPr>
              <w:w w:val="100"/>
              <w:sz w:val="20"/>
            </w:rPr>
          </w:pPr>
          <w:r w:rsidRPr="00E325A4">
            <w:rPr>
              <w:w w:val="100"/>
              <w:sz w:val="20"/>
            </w:rPr>
            <w:fldChar w:fldCharType="begin"/>
          </w:r>
          <w:r w:rsidRPr="00E325A4">
            <w:rPr>
              <w:w w:val="100"/>
              <w:sz w:val="20"/>
            </w:rPr>
            <w:instrText xml:space="preserve"> DOCPROPERTY rox_Revision \* MERGEFORMAT </w:instrText>
          </w:r>
          <w:r w:rsidRPr="00E325A4">
            <w:rPr>
              <w:w w:val="100"/>
              <w:sz w:val="20"/>
            </w:rPr>
            <w:fldChar w:fldCharType="separate"/>
          </w:r>
          <w:r w:rsidRPr="00E325A4">
            <w:rPr>
              <w:w w:val="100"/>
              <w:sz w:val="20"/>
            </w:rPr>
            <w:t>001/03.2021</w:t>
          </w:r>
          <w:r w:rsidRPr="00E325A4">
            <w:rPr>
              <w:w w:val="100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325A4" w:rsidRPr="00E325A4" w:rsidRDefault="00DB4F93" w:rsidP="00E325A4">
          <w:pPr>
            <w:pStyle w:val="Kopfzeile"/>
            <w:rPr>
              <w:b/>
              <w:w w:val="100"/>
              <w:sz w:val="20"/>
            </w:rPr>
          </w:pPr>
          <w:r w:rsidRPr="00E325A4">
            <w:rPr>
              <w:b/>
              <w:w w:val="100"/>
              <w:sz w:val="20"/>
            </w:rPr>
            <w:t>Freigegeben am:</w:t>
          </w:r>
        </w:p>
      </w:tc>
      <w:tc>
        <w:tcPr>
          <w:tcW w:w="75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325A4" w:rsidRPr="00E325A4" w:rsidRDefault="00DB4F93" w:rsidP="00E325A4">
          <w:pPr>
            <w:pStyle w:val="Kopfzeile"/>
            <w:rPr>
              <w:w w:val="100"/>
              <w:sz w:val="20"/>
            </w:rPr>
          </w:pPr>
          <w:r w:rsidRPr="00E325A4">
            <w:rPr>
              <w:w w:val="100"/>
              <w:sz w:val="20"/>
            </w:rPr>
            <w:fldChar w:fldCharType="begin"/>
          </w:r>
          <w:r w:rsidRPr="00E325A4">
            <w:rPr>
              <w:w w:val="100"/>
              <w:sz w:val="20"/>
            </w:rPr>
            <w:instrText xml:space="preserve"> DOCPROPERTY rox_step_freigabe_d \* MERGEFORMAT </w:instrText>
          </w:r>
          <w:r w:rsidRPr="00E325A4">
            <w:rPr>
              <w:w w:val="100"/>
              <w:sz w:val="20"/>
            </w:rPr>
            <w:fldChar w:fldCharType="separate"/>
          </w:r>
          <w:r w:rsidRPr="00E325A4">
            <w:rPr>
              <w:w w:val="100"/>
              <w:sz w:val="20"/>
            </w:rPr>
            <w:t>14.03.2021</w:t>
          </w:r>
          <w:r w:rsidRPr="00E325A4">
            <w:rPr>
              <w:w w:val="100"/>
              <w:sz w:val="20"/>
            </w:rPr>
            <w:fldChar w:fldCharType="end"/>
          </w:r>
        </w:p>
      </w:tc>
    </w:tr>
  </w:tbl>
  <w:p w:rsidR="00E325A4" w:rsidRDefault="00E325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366"/>
    <w:multiLevelType w:val="hybridMultilevel"/>
    <w:tmpl w:val="EA4C2E3A"/>
    <w:lvl w:ilvl="0" w:tplc="4EF6862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6DAD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80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E3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80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48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21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5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4D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&gt;"/>
      <w:lvlJc w:val="left"/>
      <w:pPr>
        <w:ind w:left="720" w:hanging="360"/>
      </w:pPr>
      <w:rPr>
        <w:rFonts w:ascii="Tahoma" w:hAnsi="Tahoma"/>
        <w:b w:val="0"/>
        <w:i w:val="0"/>
        <w:w w:val="96"/>
        <w:kern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D6F"/>
    <w:multiLevelType w:val="hybridMultilevel"/>
    <w:tmpl w:val="D8B05D7E"/>
    <w:lvl w:ilvl="0" w:tplc="03F63F72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437443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A465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D0D1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B0B2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66A7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587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9693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5C69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83344"/>
    <w:multiLevelType w:val="multilevel"/>
    <w:tmpl w:val="E2D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9938EC"/>
    <w:multiLevelType w:val="multilevel"/>
    <w:tmpl w:val="01A6A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13B70"/>
    <w:multiLevelType w:val="hybridMultilevel"/>
    <w:tmpl w:val="861421D0"/>
    <w:lvl w:ilvl="0" w:tplc="9676B3E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6CE6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E2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4D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A0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AB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6A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8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AE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4AA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1D794D"/>
    <w:multiLevelType w:val="hybridMultilevel"/>
    <w:tmpl w:val="A92A1FB0"/>
    <w:lvl w:ilvl="0" w:tplc="307C4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F000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468A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F6C8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1A55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1E5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EA22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624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9E7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F23E3"/>
    <w:multiLevelType w:val="hybridMultilevel"/>
    <w:tmpl w:val="F5E62494"/>
    <w:lvl w:ilvl="0" w:tplc="4C18C03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7D6060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369D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1A6C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FA8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7AAE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46D3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BCB7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9A7D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172EE"/>
    <w:multiLevelType w:val="hybridMultilevel"/>
    <w:tmpl w:val="708C21EA"/>
    <w:lvl w:ilvl="0" w:tplc="A19672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1DCD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0F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AD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62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A7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A6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09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4F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665E"/>
    <w:multiLevelType w:val="hybridMultilevel"/>
    <w:tmpl w:val="EE4C676C"/>
    <w:lvl w:ilvl="0" w:tplc="CCF43A0E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96F82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47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B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6C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6A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2C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88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66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715"/>
    <w:multiLevelType w:val="hybridMultilevel"/>
    <w:tmpl w:val="4A9CB76E"/>
    <w:lvl w:ilvl="0" w:tplc="C1E4017C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65AE5F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B40D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C1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843B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54AD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A48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AA55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7A3B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BD4F73"/>
    <w:multiLevelType w:val="hybridMultilevel"/>
    <w:tmpl w:val="A1CCB0AA"/>
    <w:lvl w:ilvl="0" w:tplc="5A1E8EB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6A14F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48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48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81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0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C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C9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D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4132"/>
    <w:multiLevelType w:val="multilevel"/>
    <w:tmpl w:val="861421D0"/>
    <w:numStyleLink w:val="SFG-Listen-Formatvorlage"/>
  </w:abstractNum>
  <w:abstractNum w:abstractNumId="14" w15:restartNumberingAfterBreak="0">
    <w:nsid w:val="6F8635A4"/>
    <w:multiLevelType w:val="multilevel"/>
    <w:tmpl w:val="861421D0"/>
    <w:numStyleLink w:val="SFG-Listen-Formatvorlage"/>
  </w:abstractNum>
  <w:abstractNum w:abstractNumId="15" w15:restartNumberingAfterBreak="0">
    <w:nsid w:val="7D3D50E5"/>
    <w:multiLevelType w:val="hybridMultilevel"/>
    <w:tmpl w:val="32903BC2"/>
    <w:lvl w:ilvl="0" w:tplc="3344F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E6B0951A" w:tentative="1">
      <w:start w:val="1"/>
      <w:numFmt w:val="lowerLetter"/>
      <w:lvlText w:val="%2."/>
      <w:lvlJc w:val="left"/>
      <w:pPr>
        <w:ind w:left="1440" w:hanging="360"/>
      </w:pPr>
    </w:lvl>
    <w:lvl w:ilvl="2" w:tplc="7AF0ADBA" w:tentative="1">
      <w:start w:val="1"/>
      <w:numFmt w:val="lowerRoman"/>
      <w:lvlText w:val="%3."/>
      <w:lvlJc w:val="right"/>
      <w:pPr>
        <w:ind w:left="2160" w:hanging="180"/>
      </w:pPr>
    </w:lvl>
    <w:lvl w:ilvl="3" w:tplc="50100A56" w:tentative="1">
      <w:start w:val="1"/>
      <w:numFmt w:val="decimal"/>
      <w:lvlText w:val="%4."/>
      <w:lvlJc w:val="left"/>
      <w:pPr>
        <w:ind w:left="2880" w:hanging="360"/>
      </w:pPr>
    </w:lvl>
    <w:lvl w:ilvl="4" w:tplc="E0408F68" w:tentative="1">
      <w:start w:val="1"/>
      <w:numFmt w:val="lowerLetter"/>
      <w:lvlText w:val="%5."/>
      <w:lvlJc w:val="left"/>
      <w:pPr>
        <w:ind w:left="3600" w:hanging="360"/>
      </w:pPr>
    </w:lvl>
    <w:lvl w:ilvl="5" w:tplc="FCA4E60A" w:tentative="1">
      <w:start w:val="1"/>
      <w:numFmt w:val="lowerRoman"/>
      <w:lvlText w:val="%6."/>
      <w:lvlJc w:val="right"/>
      <w:pPr>
        <w:ind w:left="4320" w:hanging="180"/>
      </w:pPr>
    </w:lvl>
    <w:lvl w:ilvl="6" w:tplc="D35E6B60" w:tentative="1">
      <w:start w:val="1"/>
      <w:numFmt w:val="decimal"/>
      <w:lvlText w:val="%7."/>
      <w:lvlJc w:val="left"/>
      <w:pPr>
        <w:ind w:left="5040" w:hanging="360"/>
      </w:pPr>
    </w:lvl>
    <w:lvl w:ilvl="7" w:tplc="9D543E9C" w:tentative="1">
      <w:start w:val="1"/>
      <w:numFmt w:val="lowerLetter"/>
      <w:lvlText w:val="%8."/>
      <w:lvlJc w:val="left"/>
      <w:pPr>
        <w:ind w:left="5760" w:hanging="360"/>
      </w:pPr>
    </w:lvl>
    <w:lvl w:ilvl="8" w:tplc="3AE00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14"/>
  </w:num>
  <w:num w:numId="12">
    <w:abstractNumId w:val="1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0973D4"/>
    <w:rsid w:val="000041DD"/>
    <w:rsid w:val="0000458C"/>
    <w:rsid w:val="0000484B"/>
    <w:rsid w:val="00023C51"/>
    <w:rsid w:val="000402E2"/>
    <w:rsid w:val="000973D4"/>
    <w:rsid w:val="000B3CD5"/>
    <w:rsid w:val="000D4BEF"/>
    <w:rsid w:val="0014756E"/>
    <w:rsid w:val="00150655"/>
    <w:rsid w:val="001553B2"/>
    <w:rsid w:val="00171382"/>
    <w:rsid w:val="00176A39"/>
    <w:rsid w:val="00192918"/>
    <w:rsid w:val="00197FF5"/>
    <w:rsid w:val="00206DF9"/>
    <w:rsid w:val="002331FC"/>
    <w:rsid w:val="002400B0"/>
    <w:rsid w:val="00255FE6"/>
    <w:rsid w:val="002603D1"/>
    <w:rsid w:val="0026711B"/>
    <w:rsid w:val="002A2A6E"/>
    <w:rsid w:val="002D4CC5"/>
    <w:rsid w:val="002E3CC3"/>
    <w:rsid w:val="00324DA1"/>
    <w:rsid w:val="003250D9"/>
    <w:rsid w:val="00326D2B"/>
    <w:rsid w:val="003434B2"/>
    <w:rsid w:val="0035721A"/>
    <w:rsid w:val="00385C22"/>
    <w:rsid w:val="00393296"/>
    <w:rsid w:val="003967FD"/>
    <w:rsid w:val="003A0696"/>
    <w:rsid w:val="003A2888"/>
    <w:rsid w:val="003E13F3"/>
    <w:rsid w:val="00402027"/>
    <w:rsid w:val="00445142"/>
    <w:rsid w:val="00450AC0"/>
    <w:rsid w:val="004830A1"/>
    <w:rsid w:val="004979D3"/>
    <w:rsid w:val="004B4E1F"/>
    <w:rsid w:val="004D1F62"/>
    <w:rsid w:val="004E6D95"/>
    <w:rsid w:val="00503C80"/>
    <w:rsid w:val="0055240D"/>
    <w:rsid w:val="00566699"/>
    <w:rsid w:val="005703B2"/>
    <w:rsid w:val="00591543"/>
    <w:rsid w:val="005932C3"/>
    <w:rsid w:val="005A6CB9"/>
    <w:rsid w:val="005B22F5"/>
    <w:rsid w:val="005C2201"/>
    <w:rsid w:val="005C5778"/>
    <w:rsid w:val="005D1F86"/>
    <w:rsid w:val="005E1A4C"/>
    <w:rsid w:val="005E6EFB"/>
    <w:rsid w:val="006032A4"/>
    <w:rsid w:val="006224BE"/>
    <w:rsid w:val="00622ADC"/>
    <w:rsid w:val="00646770"/>
    <w:rsid w:val="00654CAA"/>
    <w:rsid w:val="006632D7"/>
    <w:rsid w:val="00693AC2"/>
    <w:rsid w:val="006B06CF"/>
    <w:rsid w:val="006B764E"/>
    <w:rsid w:val="006C64FF"/>
    <w:rsid w:val="006E5F71"/>
    <w:rsid w:val="006F4779"/>
    <w:rsid w:val="00702E3E"/>
    <w:rsid w:val="00717844"/>
    <w:rsid w:val="0072396F"/>
    <w:rsid w:val="00742B64"/>
    <w:rsid w:val="00755D37"/>
    <w:rsid w:val="00764243"/>
    <w:rsid w:val="00790901"/>
    <w:rsid w:val="007A631D"/>
    <w:rsid w:val="007C6034"/>
    <w:rsid w:val="007E0589"/>
    <w:rsid w:val="007E1956"/>
    <w:rsid w:val="0081662D"/>
    <w:rsid w:val="008213AD"/>
    <w:rsid w:val="008370F3"/>
    <w:rsid w:val="00856D33"/>
    <w:rsid w:val="0088346E"/>
    <w:rsid w:val="00884FD2"/>
    <w:rsid w:val="00895E87"/>
    <w:rsid w:val="008A015C"/>
    <w:rsid w:val="008A713B"/>
    <w:rsid w:val="008E0E5C"/>
    <w:rsid w:val="008E209B"/>
    <w:rsid w:val="00903DFE"/>
    <w:rsid w:val="00907CFC"/>
    <w:rsid w:val="0091537E"/>
    <w:rsid w:val="0091680D"/>
    <w:rsid w:val="00917986"/>
    <w:rsid w:val="0099698A"/>
    <w:rsid w:val="009E4FD1"/>
    <w:rsid w:val="00A12737"/>
    <w:rsid w:val="00A31DDA"/>
    <w:rsid w:val="00A54C88"/>
    <w:rsid w:val="00A70A83"/>
    <w:rsid w:val="00A71924"/>
    <w:rsid w:val="00A837E3"/>
    <w:rsid w:val="00A925C5"/>
    <w:rsid w:val="00AA4CF6"/>
    <w:rsid w:val="00AC5446"/>
    <w:rsid w:val="00AF77D2"/>
    <w:rsid w:val="00B04B28"/>
    <w:rsid w:val="00B2343D"/>
    <w:rsid w:val="00B76AE8"/>
    <w:rsid w:val="00BA753D"/>
    <w:rsid w:val="00BD16D8"/>
    <w:rsid w:val="00BD1F36"/>
    <w:rsid w:val="00C01638"/>
    <w:rsid w:val="00C33807"/>
    <w:rsid w:val="00C34E0B"/>
    <w:rsid w:val="00CB551D"/>
    <w:rsid w:val="00CC2492"/>
    <w:rsid w:val="00D02B6E"/>
    <w:rsid w:val="00D3173C"/>
    <w:rsid w:val="00D36FC9"/>
    <w:rsid w:val="00D42D2F"/>
    <w:rsid w:val="00DA28BF"/>
    <w:rsid w:val="00DB4F93"/>
    <w:rsid w:val="00DB5341"/>
    <w:rsid w:val="00DD0390"/>
    <w:rsid w:val="00DD2F58"/>
    <w:rsid w:val="00DF6DBE"/>
    <w:rsid w:val="00E325A4"/>
    <w:rsid w:val="00E463F7"/>
    <w:rsid w:val="00E87573"/>
    <w:rsid w:val="00E92492"/>
    <w:rsid w:val="00EC486B"/>
    <w:rsid w:val="00ED5158"/>
    <w:rsid w:val="00F01459"/>
    <w:rsid w:val="00F01CE7"/>
    <w:rsid w:val="00F23978"/>
    <w:rsid w:val="00F26AE7"/>
    <w:rsid w:val="00F42773"/>
    <w:rsid w:val="00F51FEF"/>
    <w:rsid w:val="00F64DD3"/>
    <w:rsid w:val="00F81463"/>
    <w:rsid w:val="00F93F24"/>
    <w:rsid w:val="00FA60D0"/>
    <w:rsid w:val="00FC3E8E"/>
    <w:rsid w:val="00FD5D15"/>
    <w:rsid w:val="00FE30BD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1DDD5"/>
  <w15:chartTrackingRefBased/>
  <w15:docId w15:val="{505FB6CA-9663-4A60-A92A-FEBA66E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w w:val="96"/>
        <w:sz w:val="22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699"/>
    <w:pPr>
      <w:spacing w:line="280" w:lineRule="atLeast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A70A8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9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70F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70F3"/>
    <w:rPr>
      <w:rFonts w:ascii="Consolas" w:hAnsi="Consolas"/>
      <w:sz w:val="20"/>
      <w:szCs w:val="20"/>
    </w:rPr>
  </w:style>
  <w:style w:type="paragraph" w:styleId="Kopfzeile">
    <w:name w:val="header"/>
    <w:basedOn w:val="Standard"/>
    <w:link w:val="KopfzeileZchn"/>
    <w:unhideWhenUsed/>
    <w:rsid w:val="008A01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15C"/>
  </w:style>
  <w:style w:type="paragraph" w:styleId="Fuzeile">
    <w:name w:val="footer"/>
    <w:basedOn w:val="Standard"/>
    <w:link w:val="FuzeileZchn"/>
    <w:uiPriority w:val="99"/>
    <w:unhideWhenUsed/>
    <w:rsid w:val="008A01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15C"/>
  </w:style>
  <w:style w:type="paragraph" w:styleId="StandardWeb">
    <w:name w:val="Normal (Web)"/>
    <w:basedOn w:val="Standard"/>
    <w:uiPriority w:val="99"/>
    <w:semiHidden/>
    <w:unhideWhenUsed/>
    <w:rsid w:val="008E209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w w:val="100"/>
      <w:sz w:val="24"/>
      <w:lang w:val="de-DE" w:eastAsia="de-DE"/>
    </w:rPr>
  </w:style>
  <w:style w:type="character" w:customStyle="1" w:styleId="Flietext2">
    <w:name w:val="Fließtext (2)"/>
    <w:basedOn w:val="Absatz-Standardschriftart"/>
    <w:rsid w:val="00AA4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paragraph" w:customStyle="1" w:styleId="Default">
    <w:name w:val="Default"/>
    <w:rsid w:val="007909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10_VL_3_Term Sheet_Start!Klar plus</vt:lpstr>
    </vt:vector>
  </TitlesOfParts>
  <Company>Steirische Wirtschaftsförderungs GmbH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10_VL_3_Term Sheet_Start!Klar plus</dc:title>
  <dc:creator>Deutsch Katharina</dc:creator>
  <cp:lastModifiedBy>Steinberger Stefanie</cp:lastModifiedBy>
  <cp:revision>3</cp:revision>
  <dcterms:created xsi:type="dcterms:W3CDTF">2021-12-13T07:35:00Z</dcterms:created>
  <dcterms:modified xsi:type="dcterms:W3CDTF">2021-12-13T07:37:00Z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03.03.2021</vt:lpwstr>
  </property>
  <property fmtid="{D5CDD505-2E9C-101B-9397-08002B2CF9AE}" pid="5" name="rox_Description">
    <vt:lpwstr/>
  </property>
  <property fmtid="{D5CDD505-2E9C-101B-9397-08002B2CF9AE}" pid="6" name="rox_DesignVerant">
    <vt:lpwstr>Steiner, Erich</vt:lpwstr>
  </property>
  <property fmtid="{D5CDD505-2E9C-101B-9397-08002B2CF9AE}" pid="7" name="rox_DesignVerant_SelKey">
    <vt:lpwstr>Steiner, Erich</vt:lpwstr>
  </property>
  <property fmtid="{D5CDD505-2E9C-101B-9397-08002B2CF9AE}" pid="8" name="rox_DocPath">
    <vt:lpwstr>Dokumente/Prozesslandkarte/10_Unternehmertum und Wachstum junger Unternehmen/Förderung_Finanzierung/10.03_Förderungen abrechnen</vt:lpwstr>
  </property>
  <property fmtid="{D5CDD505-2E9C-101B-9397-08002B2CF9AE}" pid="9" name="rox_DocPath_2">
    <vt:lpwstr>/</vt:lpwstr>
  </property>
  <property fmtid="{D5CDD505-2E9C-101B-9397-08002B2CF9AE}" pid="10" name="rox_DocType">
    <vt:lpwstr>Vorlage (VL)</vt:lpwstr>
  </property>
  <property fmtid="{D5CDD505-2E9C-101B-9397-08002B2CF9AE}" pid="11" name="rox_ErgVerant">
    <vt:lpwstr>Steiner, Erich</vt:lpwstr>
  </property>
  <property fmtid="{D5CDD505-2E9C-101B-9397-08002B2CF9AE}" pid="12" name="rox_ErgVerant_SelKey">
    <vt:lpwstr>Steiner, Erich</vt:lpwstr>
  </property>
  <property fmtid="{D5CDD505-2E9C-101B-9397-08002B2CF9AE}" pid="13" name="rox_FileName">
    <vt:lpwstr>10_VL_3_Term Sheet_Start!Klar plus.docx</vt:lpwstr>
  </property>
  <property fmtid="{D5CDD505-2E9C-101B-9397-08002B2CF9AE}" pid="14" name="rox_FreigabedatumVB">
    <vt:lpwstr/>
  </property>
  <property fmtid="{D5CDD505-2E9C-101B-9397-08002B2CF9AE}" pid="15" name="rox_ID">
    <vt:lpwstr>30613</vt:lpwstr>
  </property>
  <property fmtid="{D5CDD505-2E9C-101B-9397-08002B2CF9AE}" pid="16" name="rox_Kennung">
    <vt:lpwstr>10_VL_3_Term Sheet_Start!Klar plus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orderid="33"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orderid="37" /&gt;&lt;Field id="rox_Versionsinformationen_3" caption="Versionsinforma</vt:lpwstr>
  </property>
  <property fmtid="{D5CDD505-2E9C-101B-9397-08002B2CF9AE}" pid="22" name="rox_Meta12">
    <vt:lpwstr>tionen_3" orderid="38" /&gt;&lt;Field id="rox_Versionsinformationen_4" caption="Versionsinformationen_4" orderid="39" /&gt;&lt;Field id="ro</vt:lpwstr>
  </property>
  <property fmtid="{D5CDD505-2E9C-101B-9397-08002B2CF9AE}" pid="23" name="rox_Meta13">
    <vt:lpwstr>x_Versionsinformationen_5" caption="Versionsinformationen_5" orderid="40" /&gt;&lt;Field id="rox_Versionsinformationen_6" caption="Ve</vt:lpwstr>
  </property>
  <property fmtid="{D5CDD505-2E9C-101B-9397-08002B2CF9AE}" pid="24" name="rox_Meta14">
    <vt:lpwstr>rsionsinformationen_6" orderid="41" /&gt;&lt;Field id="rox_Versionsinformationen_7" caption="Versionsinformationen_7" orderid="42" /&gt;</vt:lpwstr>
  </property>
  <property fmtid="{D5CDD505-2E9C-101B-9397-08002B2CF9AE}" pid="25" name="rox_Meta15">
    <vt:lpwstr>&lt;Field id="rox_Versionsinformationen_8" caption="Versionsinformationen_8" orderid="43"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orderid="44"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orderid="45" /&gt;&lt;Field id="rox_Kennung" caption="Kennung" orderid="17" /&gt;&lt;Field id="rox_step_letztepruefung_u" caption="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1.Freigegeben von" orderid="23" /&gt;&lt;Field id="rox_step_letztepruefung_d" caption="1.Freigegeben" orderid="24" /&gt;&lt;Field id="rox_s</vt:lpwstr>
  </property>
  <property fmtid="{D5CDD505-2E9C-101B-9397-08002B2CF9AE}" pid="32" name="rox_Meta21">
    <vt:lpwstr>tep_vks_d" caption="Letzte VKS am" orderid="25" /&gt;&lt;Field id="rox_step_vks_u" caption="Letzter VKS-Verantwortlicher" orderid="26</vt:lpwstr>
  </property>
  <property fmtid="{D5CDD505-2E9C-101B-9397-08002B2CF9AE}" pid="33" name="rox_Meta22">
    <vt:lpwstr>" /&gt;&lt;Field id="rox_step_vks" caption="VKS-Verantwortliche" type="roleconcat" orderid="27"&gt;-&lt;/Field&gt;&lt;Field id="rox_step_freigabe</vt:lpwstr>
  </property>
  <property fmtid="{D5CDD505-2E9C-101B-9397-08002B2CF9AE}" pid="34" name="rox_Meta23">
    <vt:lpwstr>_u" caption="2.Freigegeben von" orderid="28" /&gt;&lt;Field id="rox_step_freigabe_d" caption="2.Freigegeben" orderid="29" /&gt;&lt;Field id</vt:lpwstr>
  </property>
  <property fmtid="{D5CDD505-2E9C-101B-9397-08002B2CF9AE}" pid="35" name="rox_Meta24">
    <vt:lpwstr>="rox_RoleV" caption="Rolle: Verantwortlicher" orderid="46" /&gt;&lt;Field id="rox_RoleB" caption="Rolle: Ersteller (E)" orderid="47</vt:lpwstr>
  </property>
  <property fmtid="{D5CDD505-2E9C-101B-9397-08002B2CF9AE}" pid="36" name="rox_Meta25">
    <vt:lpwstr>" /&gt;&lt;Field id="rox_RoleP" caption="Rolle: 1.Freigeber" orderid="48" /&gt;&lt;Field id="rox_RoleK" caption="Rolle: VKS-Verantwortliche</vt:lpwstr>
  </property>
  <property fmtid="{D5CDD505-2E9C-101B-9397-08002B2CF9AE}" pid="37" name="rox_Meta26">
    <vt:lpwstr>r" orderid="49" /&gt;&lt;Field id="rox_RoleF" caption="Rolle: 2.Freigeber" orderid="50" /&gt;&lt;Field id="rox_RoleE" caption="Rolle: Empfä</vt:lpwstr>
  </property>
  <property fmtid="{D5CDD505-2E9C-101B-9397-08002B2CF9AE}" pid="38" name="rox_Meta27">
    <vt:lpwstr>nger" orderid="51" /&gt;&lt;Field id="rox_RoleG" caption="Rolle: Empfänger (ohne Lesebestätigung)" orderid="52" /&gt;&lt;Field id="rox_Role</vt:lpwstr>
  </property>
  <property fmtid="{D5CDD505-2E9C-101B-9397-08002B2CF9AE}" pid="39" name="rox_Meta28">
    <vt:lpwstr>G_2" caption="Rolle: Empfänger (ohne Lesebestätigung)_2" orderid="53" /&gt;&lt;Field id="rox_ReferencesTo" caption="Referenzen auf" t</vt:lpwstr>
  </property>
  <property fmtid="{D5CDD505-2E9C-101B-9397-08002B2CF9AE}" pid="40" name="rox_Meta29">
    <vt:lpwstr>ype="RefTo" url="https://roxtra.sfg.at/roxtra" colcount="1" orderid="54" /&gt;&lt;GlobalFieldHandler url="https://roxtra.sfg.at/roxtr</vt:lpwstr>
  </property>
  <property fmtid="{D5CDD505-2E9C-101B-9397-08002B2CF9AE}" pid="41" name="rox_Meta3">
    <vt:lpwstr>tentyp" orderid="13" /&gt;&lt;Field id="rox_CreatedBy" caption="Erstellt" orderid="20" /&gt;&lt;Field id="rox_CreatedAt" caption="Erstell</vt:lpwstr>
  </property>
  <property fmtid="{D5CDD505-2E9C-101B-9397-08002B2CF9AE}" pid="42" name="rox_Meta30">
    <vt:lpwstr>a/doc/DownloadGlobalFieldHandler.ashx?token=eyJhbGciOiJIUzI1NiIsImtpZCI6IjNlMjk3MDA2LTMwMmUtNGI4Ni05MTUxLTc3YWYzOWRhYjg0MyIsInR</vt:lpwstr>
  </property>
  <property fmtid="{D5CDD505-2E9C-101B-9397-08002B2CF9AE}" pid="43" name="rox_Meta31">
    <vt:lpwstr>5cCI6IkpXVCJ9.eyJVc2VySUQiOiIyMTExIiwicmVxdWVzdGVkQnlDbGllbnRJRCI6IjNlMjk3MDA2LTMwMmUtNGI4Ni05MTUxLTc3YWYzOWRhYjg0MyIsIm5iZiI6M</vt:lpwstr>
  </property>
  <property fmtid="{D5CDD505-2E9C-101B-9397-08002B2CF9AE}" pid="44" name="rox_Meta32">
    <vt:lpwstr>TYzOTM4MDY0MSwiZXhwIjoxNjM5Mzg0MjQxLCJpYXQiOjE2MzkzODA2NDEsImlzcyI6InJvWHRyYSJ9.eWo8qmKKp8NnLH5ap5NCNnfdqKj6f59jluZRAVdBDbc" /&gt;</vt:lpwstr>
  </property>
  <property fmtid="{D5CDD505-2E9C-101B-9397-08002B2CF9AE}" pid="45" name="rox_Meta33">
    <vt:lpwstr>&lt;/fields&gt;</vt:lpwstr>
  </property>
  <property fmtid="{D5CDD505-2E9C-101B-9397-08002B2CF9AE}" pid="46" name="rox_Meta4">
    <vt:lpwstr>t von" orderid="19" /&gt;&lt;Field id="rox_UpdatedBy" caption="Geändert von" orderid="22" /&gt;&lt;Field id="rox_UpdatedAt" caption="Geände</vt:lpwstr>
  </property>
  <property fmtid="{D5CDD505-2E9C-101B-9397-08002B2CF9AE}" pid="47" name="rox_Meta5">
    <vt:lpwstr>rt" orderid="21" /&gt;&lt;Field id="rox_DocPath" caption="Pfad" orderid="34" /&gt;&lt;Field id="rox_DocPath_2" caption="Pfad_2" orderid="35</vt:lpwstr>
  </property>
  <property fmtid="{D5CDD505-2E9C-101B-9397-08002B2CF9AE}" pid="48" name="rox_Meta6">
    <vt:lpwstr>" /&gt;&lt;Field id="rox_ParentDocTitle" caption="Ordner" orderid="36"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10.03_Förderungen abrechnen</vt:lpwstr>
  </property>
  <property fmtid="{D5CDD505-2E9C-101B-9397-08002B2CF9AE}" pid="53" name="rox_ReferencesTo">
    <vt:lpwstr>...</vt:lpwstr>
  </property>
  <property fmtid="{D5CDD505-2E9C-101B-9397-08002B2CF9AE}" pid="54" name="rox_RelevantChange">
    <vt:lpwstr>Nein</vt:lpwstr>
  </property>
  <property fmtid="{D5CDD505-2E9C-101B-9397-08002B2CF9AE}" pid="55" name="rox_Revision">
    <vt:lpwstr>001/03.2021</vt:lpwstr>
  </property>
  <property fmtid="{D5CDD505-2E9C-101B-9397-08002B2CF9AE}" pid="56" name="rox_RoleB">
    <vt:lpwstr>Lindmayer, Magdalena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Förderungsabrechnungen
Deutsch, Katharina
Paier, Doris
Grassberger, Martina
Bretterklieber, Julia
GRUPPE: Web</vt:lpwstr>
  </property>
  <property fmtid="{D5CDD505-2E9C-101B-9397-08002B2CF9AE}" pid="60" name="rox_RoleG_2">
    <vt:lpwstr>site</vt:lpwstr>
  </property>
  <property fmtid="{D5CDD505-2E9C-101B-9397-08002B2CF9AE}" pid="61" name="rox_RoleK">
    <vt:lpwstr/>
  </property>
  <property fmtid="{D5CDD505-2E9C-101B-9397-08002B2CF9AE}" pid="62" name="rox_RoleP">
    <vt:lpwstr>Steiner, Erich</vt:lpwstr>
  </property>
  <property fmtid="{D5CDD505-2E9C-101B-9397-08002B2CF9AE}" pid="63" name="rox_RoleV">
    <vt:lpwstr>Steinberger, Stefanie</vt:lpwstr>
  </property>
  <property fmtid="{D5CDD505-2E9C-101B-9397-08002B2CF9AE}" pid="64" name="rox_Size">
    <vt:lpwstr>54194</vt:lpwstr>
  </property>
  <property fmtid="{D5CDD505-2E9C-101B-9397-08002B2CF9AE}" pid="65" name="rox_Status">
    <vt:lpwstr>freigegeben</vt:lpwstr>
  </property>
  <property fmtid="{D5CDD505-2E9C-101B-9397-08002B2CF9AE}" pid="66" name="rox_step_freigabe_d">
    <vt:lpwstr>14.03.2021</vt:lpwstr>
  </property>
  <property fmtid="{D5CDD505-2E9C-101B-9397-08002B2CF9AE}" pid="67" name="rox_step_freigabe_u">
    <vt:lpwstr>Gratzer, Ulf</vt:lpwstr>
  </property>
  <property fmtid="{D5CDD505-2E9C-101B-9397-08002B2CF9AE}" pid="68" name="rox_step_letztepruefung_d">
    <vt:lpwstr>13.03.2021</vt:lpwstr>
  </property>
  <property fmtid="{D5CDD505-2E9C-101B-9397-08002B2CF9AE}" pid="69" name="rox_step_letztepruefung_u">
    <vt:lpwstr>Steiner, Erich</vt:lpwstr>
  </property>
  <property fmtid="{D5CDD505-2E9C-101B-9397-08002B2CF9AE}" pid="70" name="rox_step_vks">
    <vt:lpwstr>-</vt:lpwstr>
  </property>
  <property fmtid="{D5CDD505-2E9C-101B-9397-08002B2CF9AE}" pid="71" name="rox_step_vks_d">
    <vt:lpwstr/>
  </property>
  <property fmtid="{D5CDD505-2E9C-101B-9397-08002B2CF9AE}" pid="72" name="rox_step_vks_u">
    <vt:lpwstr/>
  </property>
  <property fmtid="{D5CDD505-2E9C-101B-9397-08002B2CF9AE}" pid="73" name="rox_Title">
    <vt:lpwstr>10_VL_3_Term Sheet_Start!Klar plus</vt:lpwstr>
  </property>
  <property fmtid="{D5CDD505-2E9C-101B-9397-08002B2CF9AE}" pid="74" name="rox_UpdatedAt">
    <vt:lpwstr>03.03.2021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neu in roXtra verfügbar</vt:lpwstr>
  </property>
  <property fmtid="{D5CDD505-2E9C-101B-9397-08002B2CF9AE}" pid="78" name="rox_Versionsinformationen_2">
    <vt:lpwstr/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/>
  </property>
  <property fmtid="{D5CDD505-2E9C-101B-9397-08002B2CF9AE}" pid="86" name="rox_Wiedervorlage">
    <vt:lpwstr>14.03.2022</vt:lpwstr>
  </property>
</Properties>
</file>